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D06E4F" w14:textId="1A7FF3ED" w:rsidR="0031263D" w:rsidRDefault="0031263D" w:rsidP="0031263D">
      <w:pPr>
        <w:spacing w:line="276" w:lineRule="auto"/>
        <w:rPr>
          <w:rFonts w:ascii="Avenir Next LT Pro" w:hAnsi="Avenir Next LT Pro"/>
          <w:b/>
          <w:bCs/>
          <w:color w:val="538135" w:themeColor="accent6" w:themeShade="BF"/>
          <w:sz w:val="44"/>
          <w:szCs w:val="44"/>
        </w:rPr>
      </w:pPr>
      <w:r w:rsidRPr="00522A49">
        <w:rPr>
          <w:rFonts w:ascii="Avenir Next LT Pro" w:hAnsi="Avenir Next LT Pro"/>
          <w:noProof/>
          <w:lang w:eastAsia="es-CO"/>
        </w:rPr>
        <w:drawing>
          <wp:anchor distT="0" distB="0" distL="114300" distR="114300" simplePos="0" relativeHeight="251659264" behindDoc="1" locked="0" layoutInCell="1" allowOverlap="1" wp14:anchorId="1F70B6F3" wp14:editId="51C0C4CE">
            <wp:simplePos x="0" y="0"/>
            <wp:positionH relativeFrom="margin">
              <wp:posOffset>0</wp:posOffset>
            </wp:positionH>
            <wp:positionV relativeFrom="paragraph">
              <wp:posOffset>-60960</wp:posOffset>
            </wp:positionV>
            <wp:extent cx="6169025" cy="7105650"/>
            <wp:effectExtent l="0" t="0" r="3175" b="0"/>
            <wp:wrapNone/>
            <wp:docPr id="2" name="Picture 1"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Imagen que contiene Logotipo&#10;&#10;Descripción generada automáticamente"/>
                    <pic:cNvPicPr/>
                  </pic:nvPicPr>
                  <pic:blipFill>
                    <a:blip r:embed="rId7" cstate="print">
                      <a:extLst>
                        <a:ext uri="{28A0092B-C50C-407E-A947-70E740481C1C}">
                          <a14:useLocalDpi xmlns:a14="http://schemas.microsoft.com/office/drawing/2010/main" val="0"/>
                        </a:ext>
                      </a:extLst>
                    </a:blip>
                    <a:stretch>
                      <a:fillRect/>
                    </a:stretch>
                  </pic:blipFill>
                  <pic:spPr>
                    <a:xfrm>
                      <a:off x="0" y="0"/>
                      <a:ext cx="6169025" cy="7105650"/>
                    </a:xfrm>
                    <a:prstGeom prst="rect">
                      <a:avLst/>
                    </a:prstGeom>
                  </pic:spPr>
                </pic:pic>
              </a:graphicData>
            </a:graphic>
            <wp14:sizeRelH relativeFrom="margin">
              <wp14:pctWidth>0</wp14:pctWidth>
            </wp14:sizeRelH>
            <wp14:sizeRelV relativeFrom="margin">
              <wp14:pctHeight>0</wp14:pctHeight>
            </wp14:sizeRelV>
          </wp:anchor>
        </w:drawing>
      </w:r>
    </w:p>
    <w:p w14:paraId="3BD7D056" w14:textId="77777777" w:rsidR="00961886" w:rsidRDefault="00961886" w:rsidP="0031263D">
      <w:pPr>
        <w:spacing w:line="276" w:lineRule="auto"/>
        <w:rPr>
          <w:rFonts w:ascii="Avenir Next LT Pro" w:hAnsi="Avenir Next LT Pro"/>
          <w:b/>
          <w:bCs/>
          <w:color w:val="538135" w:themeColor="accent6" w:themeShade="BF"/>
          <w:sz w:val="44"/>
          <w:szCs w:val="44"/>
        </w:rPr>
      </w:pPr>
    </w:p>
    <w:p w14:paraId="48B55736" w14:textId="20AF5721" w:rsidR="0031263D" w:rsidRPr="007A6AAC" w:rsidRDefault="0031263D" w:rsidP="007A6AAC">
      <w:pPr>
        <w:spacing w:line="480" w:lineRule="auto"/>
        <w:rPr>
          <w:rFonts w:ascii="Times New Roman" w:hAnsi="Times New Roman" w:cs="Times New Roman"/>
          <w:b/>
          <w:bCs/>
          <w:color w:val="538135" w:themeColor="accent6" w:themeShade="BF"/>
          <w:sz w:val="24"/>
          <w:szCs w:val="24"/>
        </w:rPr>
      </w:pPr>
      <w:r w:rsidRPr="007A6AAC">
        <w:rPr>
          <w:rFonts w:ascii="Times New Roman" w:hAnsi="Times New Roman" w:cs="Times New Roman"/>
          <w:b/>
          <w:bCs/>
          <w:color w:val="538135" w:themeColor="accent6" w:themeShade="BF"/>
          <w:sz w:val="24"/>
          <w:szCs w:val="24"/>
        </w:rPr>
        <w:t>ESTUDIO DE MERCADO</w:t>
      </w:r>
      <w:r w:rsidR="00961886" w:rsidRPr="007A6AAC">
        <w:rPr>
          <w:rFonts w:ascii="Times New Roman" w:hAnsi="Times New Roman" w:cs="Times New Roman"/>
          <w:b/>
          <w:bCs/>
          <w:color w:val="538135" w:themeColor="accent6" w:themeShade="BF"/>
          <w:sz w:val="24"/>
          <w:szCs w:val="24"/>
        </w:rPr>
        <w:t xml:space="preserve"> </w:t>
      </w:r>
      <w:r w:rsidR="00961886" w:rsidRPr="007A6AAC">
        <w:rPr>
          <w:rFonts w:ascii="Times New Roman" w:hAnsi="Times New Roman" w:cs="Times New Roman"/>
          <w:b/>
          <w:bCs/>
          <w:i/>
          <w:iCs/>
          <w:color w:val="538135" w:themeColor="accent6" w:themeShade="BF"/>
          <w:sz w:val="24"/>
          <w:szCs w:val="24"/>
        </w:rPr>
        <w:t>NUEVOS MEDIOS DE VIDA</w:t>
      </w:r>
      <w:r w:rsidRPr="007A6AAC">
        <w:rPr>
          <w:rFonts w:ascii="Times New Roman" w:hAnsi="Times New Roman" w:cs="Times New Roman"/>
          <w:b/>
          <w:bCs/>
          <w:color w:val="538135" w:themeColor="accent6" w:themeShade="BF"/>
          <w:sz w:val="24"/>
          <w:szCs w:val="24"/>
        </w:rPr>
        <w:t xml:space="preserve"> ASENTAMIENTOS JOS</w:t>
      </w:r>
      <w:r w:rsidR="000A54B9" w:rsidRPr="007A6AAC">
        <w:rPr>
          <w:rFonts w:ascii="Times New Roman" w:hAnsi="Times New Roman" w:cs="Times New Roman"/>
          <w:b/>
          <w:bCs/>
          <w:color w:val="538135" w:themeColor="accent6" w:themeShade="BF"/>
          <w:sz w:val="24"/>
          <w:szCs w:val="24"/>
        </w:rPr>
        <w:t xml:space="preserve">É ANTONIO GALÁN </w:t>
      </w:r>
    </w:p>
    <w:p w14:paraId="2D15B4C4" w14:textId="77777777" w:rsidR="0031263D" w:rsidRPr="007A6AAC" w:rsidRDefault="0031263D" w:rsidP="007A6AAC">
      <w:pPr>
        <w:spacing w:line="480" w:lineRule="auto"/>
        <w:rPr>
          <w:rFonts w:ascii="Times New Roman" w:hAnsi="Times New Roman" w:cs="Times New Roman"/>
          <w:b/>
          <w:bCs/>
          <w:color w:val="538135" w:themeColor="accent6" w:themeShade="BF"/>
          <w:sz w:val="24"/>
          <w:szCs w:val="24"/>
        </w:rPr>
      </w:pPr>
    </w:p>
    <w:p w14:paraId="6FDF85EF" w14:textId="17DC683C"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r w:rsidRPr="007A6AAC">
        <w:rPr>
          <w:rStyle w:val="normaltextrun"/>
          <w:rFonts w:eastAsiaTheme="majorEastAsia"/>
          <w:b/>
          <w:bCs/>
          <w:color w:val="595959" w:themeColor="text1" w:themeTint="A6"/>
          <w:sz w:val="24"/>
        </w:rPr>
        <w:t>Programa Barr</w:t>
      </w:r>
      <w:r w:rsidR="000A54B9" w:rsidRPr="007A6AAC">
        <w:rPr>
          <w:rStyle w:val="normaltextrun"/>
          <w:rFonts w:eastAsiaTheme="majorEastAsia"/>
          <w:b/>
          <w:bCs/>
          <w:color w:val="595959" w:themeColor="text1" w:themeTint="A6"/>
          <w:sz w:val="24"/>
        </w:rPr>
        <w:t xml:space="preserve">ios </w:t>
      </w:r>
      <w:proofErr w:type="spellStart"/>
      <w:r w:rsidR="000A54B9" w:rsidRPr="007A6AAC">
        <w:rPr>
          <w:rStyle w:val="normaltextrun"/>
          <w:rFonts w:eastAsiaTheme="majorEastAsia"/>
          <w:b/>
          <w:bCs/>
          <w:color w:val="595959" w:themeColor="text1" w:themeTint="A6"/>
          <w:sz w:val="24"/>
        </w:rPr>
        <w:t>Resilientes</w:t>
      </w:r>
      <w:proofErr w:type="spellEnd"/>
      <w:r w:rsidR="000A54B9" w:rsidRPr="007A6AAC">
        <w:rPr>
          <w:rStyle w:val="normaltextrun"/>
          <w:rFonts w:eastAsiaTheme="majorEastAsia"/>
          <w:b/>
          <w:bCs/>
          <w:color w:val="595959" w:themeColor="text1" w:themeTint="A6"/>
          <w:sz w:val="24"/>
        </w:rPr>
        <w:t xml:space="preserve"> en Colombia</w:t>
      </w:r>
    </w:p>
    <w:p w14:paraId="7A7AB80A" w14:textId="50F350CB"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216F4AA6" w14:textId="458F800C"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2D30199D" w14:textId="295359ED"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7DADB448" w14:textId="0BEA3089"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3254AD58" w14:textId="758ADDEF"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6B711946" w14:textId="6CE39195"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7154E468" w14:textId="60CB5D8B"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74D08FC2" w14:textId="002805C2"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1A7195C2" w14:textId="128AE263"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751BA691" w14:textId="40D1FA53"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527D128D" w14:textId="233D813E" w:rsidR="0031263D" w:rsidRPr="007A6AAC" w:rsidRDefault="0031263D" w:rsidP="007A6AAC">
      <w:pPr>
        <w:pStyle w:val="paragraph"/>
        <w:spacing w:before="0" w:beforeAutospacing="0" w:after="0" w:afterAutospacing="0" w:line="480" w:lineRule="auto"/>
        <w:ind w:firstLine="0"/>
        <w:textAlignment w:val="baseline"/>
        <w:rPr>
          <w:rStyle w:val="normaltextrun"/>
          <w:rFonts w:eastAsiaTheme="majorEastAsia"/>
          <w:b/>
          <w:bCs/>
          <w:color w:val="595959" w:themeColor="text1" w:themeTint="A6"/>
          <w:sz w:val="24"/>
        </w:rPr>
      </w:pPr>
    </w:p>
    <w:p w14:paraId="0E892A32" w14:textId="77777777" w:rsidR="00961886" w:rsidRPr="007A6AAC" w:rsidRDefault="00961886" w:rsidP="007A6AAC">
      <w:pPr>
        <w:spacing w:after="0" w:line="480" w:lineRule="auto"/>
        <w:jc w:val="both"/>
        <w:rPr>
          <w:rFonts w:ascii="Times New Roman" w:eastAsia="Trebuchet MS" w:hAnsi="Times New Roman" w:cs="Times New Roman"/>
          <w:b/>
          <w:bCs/>
          <w:sz w:val="24"/>
          <w:szCs w:val="24"/>
        </w:rPr>
      </w:pPr>
    </w:p>
    <w:p w14:paraId="78847FED" w14:textId="77777777" w:rsidR="00961886" w:rsidRPr="007A6AAC" w:rsidRDefault="00961886" w:rsidP="007A6AAC">
      <w:pPr>
        <w:spacing w:after="0" w:line="480" w:lineRule="auto"/>
        <w:jc w:val="both"/>
        <w:rPr>
          <w:rFonts w:ascii="Times New Roman" w:eastAsia="Trebuchet MS" w:hAnsi="Times New Roman" w:cs="Times New Roman"/>
          <w:b/>
          <w:bCs/>
          <w:sz w:val="24"/>
          <w:szCs w:val="24"/>
        </w:rPr>
      </w:pPr>
    </w:p>
    <w:p w14:paraId="4207AA2C" w14:textId="0F496A8C" w:rsidR="00C0628E" w:rsidRPr="007A6AAC" w:rsidRDefault="00C0628E" w:rsidP="007A6AAC">
      <w:pPr>
        <w:spacing w:after="0" w:line="480" w:lineRule="auto"/>
        <w:jc w:val="both"/>
        <w:rPr>
          <w:rFonts w:ascii="Times New Roman" w:eastAsia="Trebuchet MS" w:hAnsi="Times New Roman" w:cs="Times New Roman"/>
          <w:b/>
          <w:bCs/>
          <w:sz w:val="24"/>
          <w:szCs w:val="24"/>
        </w:rPr>
      </w:pPr>
      <w:r w:rsidRPr="007A6AAC">
        <w:rPr>
          <w:rFonts w:ascii="Times New Roman" w:eastAsia="Trebuchet MS" w:hAnsi="Times New Roman" w:cs="Times New Roman"/>
          <w:b/>
          <w:bCs/>
          <w:sz w:val="24"/>
          <w:szCs w:val="24"/>
        </w:rPr>
        <w:t>Contextualización</w:t>
      </w:r>
    </w:p>
    <w:p w14:paraId="39C9A5A6" w14:textId="77777777" w:rsidR="007A6AAC" w:rsidRPr="007A6AAC" w:rsidRDefault="007A6AAC" w:rsidP="007A6AAC">
      <w:pPr>
        <w:spacing w:line="480" w:lineRule="auto"/>
        <w:rPr>
          <w:rFonts w:ascii="Times New Roman" w:eastAsia="Trebuchet MS" w:hAnsi="Times New Roman" w:cs="Times New Roman"/>
          <w:sz w:val="24"/>
          <w:szCs w:val="24"/>
        </w:rPr>
      </w:pPr>
      <w:r w:rsidRPr="007A6AAC">
        <w:rPr>
          <w:rFonts w:ascii="Times New Roman" w:eastAsia="Trebuchet MS" w:hAnsi="Times New Roman" w:cs="Times New Roman"/>
          <w:sz w:val="24"/>
          <w:szCs w:val="24"/>
        </w:rPr>
        <w:t xml:space="preserve">El barrio José Antonio Galán, estratégicamente ubicado en Bucaramanga, alberga aproximadamente entre 500 y 600 viviendas, dando lugar a una comunidad de alrededor de 900 </w:t>
      </w:r>
      <w:r w:rsidRPr="007A6AAC">
        <w:rPr>
          <w:rFonts w:ascii="Times New Roman" w:eastAsia="Trebuchet MS" w:hAnsi="Times New Roman" w:cs="Times New Roman"/>
          <w:sz w:val="24"/>
          <w:szCs w:val="24"/>
        </w:rPr>
        <w:lastRenderedPageBreak/>
        <w:t>familias. A pesar de la vitalidad intrínseca de este núcleo residencial, se identifican desafíos significativos que inciden directamente en la calidad de vida de sus habitantes.</w:t>
      </w:r>
    </w:p>
    <w:p w14:paraId="07E49E69" w14:textId="77777777" w:rsidR="007A6AAC" w:rsidRPr="007A6AAC" w:rsidRDefault="007A6AAC" w:rsidP="007A6AAC">
      <w:pPr>
        <w:spacing w:line="480" w:lineRule="auto"/>
        <w:rPr>
          <w:rFonts w:ascii="Times New Roman" w:eastAsia="Trebuchet MS" w:hAnsi="Times New Roman" w:cs="Times New Roman"/>
          <w:sz w:val="24"/>
          <w:szCs w:val="24"/>
        </w:rPr>
      </w:pPr>
      <w:r w:rsidRPr="007A6AAC">
        <w:rPr>
          <w:rFonts w:ascii="Times New Roman" w:eastAsia="Trebuchet MS" w:hAnsi="Times New Roman" w:cs="Times New Roman"/>
          <w:sz w:val="24"/>
          <w:szCs w:val="24"/>
        </w:rPr>
        <w:t>En primera instancia, la proximidad del río de Oro constituye una fuente constante de riesgo de inundaciones, generando inquietudes que exigen la implementación de medidas preventivas inmediatas. Esta problemática, intrínsecamente ligada a la seguridad y bienestar de la comunidad, requiere una atención especializada y una coordinación eficaz entre los residentes y las autoridades locales.</w:t>
      </w:r>
    </w:p>
    <w:p w14:paraId="689DD219" w14:textId="77777777" w:rsidR="007A6AAC" w:rsidRPr="007A6AAC" w:rsidRDefault="007A6AAC" w:rsidP="007A6AAC">
      <w:pPr>
        <w:spacing w:line="480" w:lineRule="auto"/>
        <w:rPr>
          <w:rFonts w:ascii="Times New Roman" w:eastAsia="Trebuchet MS" w:hAnsi="Times New Roman" w:cs="Times New Roman"/>
          <w:sz w:val="24"/>
          <w:szCs w:val="24"/>
        </w:rPr>
      </w:pPr>
      <w:r w:rsidRPr="007A6AAC">
        <w:rPr>
          <w:rFonts w:ascii="Times New Roman" w:eastAsia="Trebuchet MS" w:hAnsi="Times New Roman" w:cs="Times New Roman"/>
          <w:sz w:val="24"/>
          <w:szCs w:val="24"/>
        </w:rPr>
        <w:t>Asimismo, la presencia de una empresa de gas en las cercanías del barrio añade un componente adicional de preocupación. La gestión de los riesgos asociados a esta infraestructura se convierte en un aspecto crucial para salvar la integridad de los habitantes de José Antonio Galán, enfatizando la necesidad de protocolos de seguridad sólidos y una supervisión estrecha por parte de las autoridades competentes.</w:t>
      </w:r>
    </w:p>
    <w:p w14:paraId="0991EC84" w14:textId="77777777" w:rsidR="007A6AAC" w:rsidRPr="007A6AAC" w:rsidRDefault="007A6AAC" w:rsidP="007A6AAC">
      <w:pPr>
        <w:spacing w:line="480" w:lineRule="auto"/>
        <w:rPr>
          <w:rFonts w:ascii="Times New Roman" w:eastAsia="Trebuchet MS" w:hAnsi="Times New Roman" w:cs="Times New Roman"/>
          <w:sz w:val="24"/>
          <w:szCs w:val="24"/>
        </w:rPr>
      </w:pPr>
      <w:r w:rsidRPr="007A6AAC">
        <w:rPr>
          <w:rFonts w:ascii="Times New Roman" w:eastAsia="Trebuchet MS" w:hAnsi="Times New Roman" w:cs="Times New Roman"/>
          <w:sz w:val="24"/>
          <w:szCs w:val="24"/>
        </w:rPr>
        <w:t>No obstante, más allá de estas cuestiones infraestructurales, el barrio enfrenta desafíos sociales de envergadura. La carencia de oportunidades educativas y laborales contribuye a la persistente ignorancia y escasez de conocimientos en la comunidad. Este vacío educativo, lamentablemente, ha propiciado la aparición de actividades delictivas, la formación de bandas y el comercio de drogas, generando un entorno peligroso para los residentes.</w:t>
      </w:r>
    </w:p>
    <w:p w14:paraId="3E2B38DA" w14:textId="77777777" w:rsidR="007A6AAC" w:rsidRPr="007A6AAC" w:rsidRDefault="007A6AAC" w:rsidP="007A6AAC">
      <w:pPr>
        <w:spacing w:line="480" w:lineRule="auto"/>
        <w:rPr>
          <w:rFonts w:ascii="Times New Roman" w:eastAsia="Trebuchet MS" w:hAnsi="Times New Roman" w:cs="Times New Roman"/>
          <w:sz w:val="24"/>
          <w:szCs w:val="24"/>
        </w:rPr>
      </w:pPr>
      <w:r w:rsidRPr="007A6AAC">
        <w:rPr>
          <w:rFonts w:ascii="Times New Roman" w:eastAsia="Trebuchet MS" w:hAnsi="Times New Roman" w:cs="Times New Roman"/>
          <w:sz w:val="24"/>
          <w:szCs w:val="24"/>
        </w:rPr>
        <w:t>Finalmente, se suma la realidad de los migrantes venezolanos, quienes, en busca de mejores condiciones de vida, se han integrado en la dinámica del barrio José Antonio Galán. Este fenómeno añade complejidad a los desafíos existentes, requiriendo una consideración específica de sus necesidades y una inclusión activa en las iniciativas destinadas a mejorar la calidad de vida en el barrio.</w:t>
      </w:r>
    </w:p>
    <w:p w14:paraId="1B30E62E" w14:textId="77777777" w:rsidR="007A6AAC" w:rsidRPr="007A6AAC" w:rsidRDefault="007A6AAC" w:rsidP="007A6AAC">
      <w:pPr>
        <w:spacing w:line="480" w:lineRule="auto"/>
        <w:rPr>
          <w:rFonts w:ascii="Times New Roman" w:eastAsia="Trebuchet MS" w:hAnsi="Times New Roman" w:cs="Times New Roman"/>
          <w:sz w:val="24"/>
          <w:szCs w:val="24"/>
        </w:rPr>
      </w:pPr>
      <w:r w:rsidRPr="007A6AAC">
        <w:rPr>
          <w:rFonts w:ascii="Times New Roman" w:eastAsia="Trebuchet MS" w:hAnsi="Times New Roman" w:cs="Times New Roman"/>
          <w:sz w:val="24"/>
          <w:szCs w:val="24"/>
        </w:rPr>
        <w:lastRenderedPageBreak/>
        <w:t>Este escenario plantea retos sustanciales, particularmente en aspectos como salud pública, desarrollo integral de la primera infancia, empleo y necesidades humanitarias. Las opciones disponibles para las familias residentes en áreas específicas son limitadas en cuanto al acceso a programas de vivienda social, así como la capacidad para invertir en medidas de mitigación de riesgos para sus hogares o la posibilidad de trasladarse a zonas más seguras.</w:t>
      </w:r>
    </w:p>
    <w:p w14:paraId="3DFB242A" w14:textId="77777777" w:rsidR="007A6AAC" w:rsidRPr="007A6AAC" w:rsidRDefault="007A6AAC" w:rsidP="007A6AAC">
      <w:pPr>
        <w:spacing w:line="480" w:lineRule="auto"/>
        <w:rPr>
          <w:rFonts w:ascii="Times New Roman" w:eastAsia="Trebuchet MS" w:hAnsi="Times New Roman" w:cs="Times New Roman"/>
          <w:sz w:val="24"/>
          <w:szCs w:val="24"/>
        </w:rPr>
      </w:pPr>
      <w:r w:rsidRPr="007A6AAC">
        <w:rPr>
          <w:rFonts w:ascii="Times New Roman" w:eastAsia="Trebuchet MS" w:hAnsi="Times New Roman" w:cs="Times New Roman"/>
          <w:sz w:val="24"/>
          <w:szCs w:val="24"/>
        </w:rPr>
        <w:t>Dada esta realidad, se requiere un abordaje integral y estratégico que promueva la inclusión social y económica, la mejora de las condiciones de vida y la gestión efectiva de la migración. Esto implica el diseño e implementación de políticas públicas y programas que atiendan de manera equitativa las necesidades básicas de estas comunidades, fomenten el emprendimiento, generen empleo y establezcan medidas de apoyo humanitario en colaboración con organizaciones locales e internacionales.</w:t>
      </w:r>
    </w:p>
    <w:p w14:paraId="66A73499" w14:textId="77777777" w:rsidR="007A6AAC" w:rsidRPr="007A6AAC" w:rsidRDefault="007A6AAC" w:rsidP="007A6AAC">
      <w:pPr>
        <w:spacing w:line="480" w:lineRule="auto"/>
        <w:rPr>
          <w:rFonts w:ascii="Times New Roman" w:eastAsia="Trebuchet MS" w:hAnsi="Times New Roman" w:cs="Times New Roman"/>
          <w:sz w:val="24"/>
          <w:szCs w:val="24"/>
          <w:lang w:val="es-ES"/>
        </w:rPr>
      </w:pPr>
      <w:r w:rsidRPr="007A6AAC">
        <w:rPr>
          <w:rFonts w:ascii="Times New Roman" w:eastAsia="Trebuchet MS" w:hAnsi="Times New Roman" w:cs="Times New Roman"/>
          <w:sz w:val="24"/>
          <w:szCs w:val="24"/>
          <w:lang w:val="es-ES"/>
        </w:rPr>
        <w:t>El objetivo fundamental de este proyecto reside en el análisis de los Nuevos Medios de Vida en los asentamientos de José Antonio Galán, en íntima relación con el actual panorama de mercado en esta región. Adicionalmente, será de vital importancia evaluar la empleabilidad de aquellos individuos que se postulan para participar en nuestras capacitaciones y formaciones, con el propósito de potenciar sus habilidades emprendedoras y la consolidación de proyectos empresariales exitosos.</w:t>
      </w:r>
    </w:p>
    <w:p w14:paraId="2A7F3172" w14:textId="2BDA1015" w:rsidR="000D5E33" w:rsidRDefault="007A6AAC" w:rsidP="007A6AAC">
      <w:pPr>
        <w:spacing w:line="480" w:lineRule="auto"/>
        <w:rPr>
          <w:rFonts w:ascii="Times New Roman" w:eastAsia="Trebuchet MS" w:hAnsi="Times New Roman" w:cs="Times New Roman"/>
          <w:sz w:val="24"/>
          <w:szCs w:val="24"/>
          <w:lang w:val="es-ES"/>
        </w:rPr>
      </w:pPr>
      <w:r w:rsidRPr="007A6AAC">
        <w:rPr>
          <w:rFonts w:ascii="Times New Roman" w:eastAsia="Trebuchet MS" w:hAnsi="Times New Roman" w:cs="Times New Roman"/>
          <w:sz w:val="24"/>
          <w:szCs w:val="24"/>
          <w:lang w:val="es-ES"/>
        </w:rPr>
        <w:t>Este enfoque no solo busca entender las dinámicas de los emprendimientos en la comunidad, sino también contribuir de manera significativa a su fortalecimiento a través de la entrega de conocimientos, herramientas y habilidades esenciales.</w:t>
      </w:r>
    </w:p>
    <w:p w14:paraId="176CB395" w14:textId="77777777" w:rsidR="00B47252" w:rsidRDefault="00B47252" w:rsidP="007A6AAC">
      <w:pPr>
        <w:spacing w:line="480" w:lineRule="auto"/>
        <w:rPr>
          <w:rFonts w:ascii="Times New Roman" w:eastAsia="Trebuchet MS" w:hAnsi="Times New Roman" w:cs="Times New Roman"/>
          <w:sz w:val="24"/>
          <w:szCs w:val="24"/>
          <w:lang w:val="es-ES"/>
        </w:rPr>
      </w:pPr>
    </w:p>
    <w:p w14:paraId="40320EE8" w14:textId="77777777" w:rsidR="00B47252" w:rsidRPr="007A6AAC" w:rsidRDefault="00B47252" w:rsidP="007A6AAC">
      <w:pPr>
        <w:spacing w:line="480" w:lineRule="auto"/>
        <w:rPr>
          <w:rFonts w:ascii="Times New Roman" w:eastAsia="Trebuchet MS" w:hAnsi="Times New Roman" w:cs="Times New Roman"/>
          <w:sz w:val="24"/>
          <w:szCs w:val="24"/>
          <w:lang w:val="es-ES"/>
        </w:rPr>
      </w:pPr>
      <w:bookmarkStart w:id="0" w:name="_GoBack"/>
      <w:bookmarkEnd w:id="0"/>
    </w:p>
    <w:p w14:paraId="562F4CA3" w14:textId="0161ACC5" w:rsidR="006D3B2B" w:rsidRPr="007A6AAC" w:rsidRDefault="006D3B2B" w:rsidP="007A6AAC">
      <w:pPr>
        <w:pStyle w:val="paragraph"/>
        <w:spacing w:before="0" w:beforeAutospacing="0" w:after="0" w:afterAutospacing="0" w:line="480" w:lineRule="auto"/>
        <w:ind w:firstLine="0"/>
        <w:jc w:val="both"/>
        <w:textAlignment w:val="baseline"/>
        <w:rPr>
          <w:rFonts w:eastAsia="Trebuchet MS"/>
          <w:b/>
          <w:bCs/>
          <w:sz w:val="24"/>
        </w:rPr>
      </w:pPr>
      <w:r w:rsidRPr="007A6AAC">
        <w:rPr>
          <w:rFonts w:eastAsia="Trebuchet MS"/>
          <w:b/>
          <w:bCs/>
          <w:sz w:val="24"/>
        </w:rPr>
        <w:lastRenderedPageBreak/>
        <w:t>Descripción del mercado local de los asentamientos Jos</w:t>
      </w:r>
      <w:r w:rsidR="000A54B9" w:rsidRPr="007A6AAC">
        <w:rPr>
          <w:rFonts w:eastAsia="Trebuchet MS"/>
          <w:b/>
          <w:bCs/>
          <w:sz w:val="24"/>
        </w:rPr>
        <w:t>é Antonio Galán</w:t>
      </w:r>
    </w:p>
    <w:p w14:paraId="6F9BDD82" w14:textId="7BBE96F5" w:rsidR="006D3B2B" w:rsidRPr="007A6AAC" w:rsidRDefault="006D3B2B" w:rsidP="007A6AAC">
      <w:pPr>
        <w:pStyle w:val="paragraph"/>
        <w:spacing w:before="0" w:beforeAutospacing="0" w:after="0" w:afterAutospacing="0" w:line="480" w:lineRule="auto"/>
        <w:ind w:firstLine="708"/>
        <w:jc w:val="both"/>
        <w:textAlignment w:val="baseline"/>
        <w:rPr>
          <w:rStyle w:val="normaltextrun"/>
          <w:rFonts w:eastAsiaTheme="majorEastAsia"/>
          <w:sz w:val="24"/>
        </w:rPr>
      </w:pPr>
      <w:r w:rsidRPr="007A6AAC">
        <w:rPr>
          <w:rStyle w:val="normaltextrun"/>
          <w:rFonts w:eastAsiaTheme="majorEastAsia"/>
          <w:sz w:val="24"/>
        </w:rPr>
        <w:t xml:space="preserve">El desarrollo incipiente de los sectores comercio y servicios en la zona </w:t>
      </w:r>
      <w:r w:rsidR="007C0AF1" w:rsidRPr="007A6AAC">
        <w:rPr>
          <w:rStyle w:val="normaltextrun"/>
          <w:rFonts w:eastAsiaTheme="majorEastAsia"/>
          <w:sz w:val="24"/>
        </w:rPr>
        <w:t>genera muchas posibilidades en el</w:t>
      </w:r>
      <w:r w:rsidR="009654A7" w:rsidRPr="007A6AAC">
        <w:rPr>
          <w:rStyle w:val="normaltextrun"/>
          <w:rFonts w:eastAsiaTheme="majorEastAsia"/>
          <w:sz w:val="24"/>
        </w:rPr>
        <w:t xml:space="preserve"> </w:t>
      </w:r>
      <w:r w:rsidRPr="007A6AAC">
        <w:rPr>
          <w:rStyle w:val="normaltextrun"/>
          <w:rFonts w:eastAsiaTheme="majorEastAsia"/>
          <w:sz w:val="24"/>
        </w:rPr>
        <w:t xml:space="preserve">mercado local </w:t>
      </w:r>
      <w:r w:rsidR="007952EF" w:rsidRPr="007A6AAC">
        <w:rPr>
          <w:rStyle w:val="normaltextrun"/>
          <w:rFonts w:eastAsiaTheme="majorEastAsia"/>
          <w:sz w:val="24"/>
        </w:rPr>
        <w:t>en favor de los</w:t>
      </w:r>
      <w:r w:rsidRPr="007A6AAC">
        <w:rPr>
          <w:rStyle w:val="normaltextrun"/>
          <w:rFonts w:eastAsiaTheme="majorEastAsia"/>
          <w:sz w:val="24"/>
        </w:rPr>
        <w:t xml:space="preserve"> beneficiaros </w:t>
      </w:r>
      <w:r w:rsidR="007952EF" w:rsidRPr="007A6AAC">
        <w:rPr>
          <w:rStyle w:val="normaltextrun"/>
          <w:rFonts w:eastAsiaTheme="majorEastAsia"/>
          <w:sz w:val="24"/>
        </w:rPr>
        <w:t xml:space="preserve">que </w:t>
      </w:r>
      <w:r w:rsidRPr="007A6AAC">
        <w:rPr>
          <w:rStyle w:val="normaltextrun"/>
          <w:rFonts w:eastAsiaTheme="majorEastAsia"/>
          <w:sz w:val="24"/>
        </w:rPr>
        <w:t>obtendrán</w:t>
      </w:r>
      <w:r w:rsidR="007952EF" w:rsidRPr="007A6AAC">
        <w:rPr>
          <w:rStyle w:val="normaltextrun"/>
          <w:rFonts w:eastAsiaTheme="majorEastAsia"/>
          <w:sz w:val="24"/>
        </w:rPr>
        <w:t xml:space="preserve"> financiación de parte de Goal</w:t>
      </w:r>
      <w:r w:rsidRPr="007A6AAC">
        <w:rPr>
          <w:rStyle w:val="normaltextrun"/>
          <w:rFonts w:eastAsiaTheme="majorEastAsia"/>
          <w:sz w:val="24"/>
        </w:rPr>
        <w:t xml:space="preserve"> ya sea por el apoyo para la instauración de sus emprendimientos o el fortalecimiento de sus negocios.</w:t>
      </w:r>
    </w:p>
    <w:p w14:paraId="239EF4D6" w14:textId="2F3D38A8" w:rsidR="004B44C9" w:rsidRPr="007A6AAC" w:rsidRDefault="00D6424F" w:rsidP="007A6AAC">
      <w:pPr>
        <w:pStyle w:val="paragraph"/>
        <w:spacing w:before="0" w:beforeAutospacing="0" w:after="0" w:afterAutospacing="0" w:line="480" w:lineRule="auto"/>
        <w:ind w:firstLine="0"/>
        <w:textAlignment w:val="baseline"/>
        <w:rPr>
          <w:rStyle w:val="normaltextrun"/>
          <w:rFonts w:eastAsiaTheme="majorEastAsia"/>
          <w:sz w:val="24"/>
        </w:rPr>
      </w:pPr>
      <w:r w:rsidRPr="007A6AAC">
        <w:rPr>
          <w:rStyle w:val="normaltextrun"/>
          <w:rFonts w:eastAsiaTheme="majorEastAsia"/>
          <w:sz w:val="24"/>
        </w:rPr>
        <w:t>A continuación, en la gráfica 1 se observa</w:t>
      </w:r>
      <w:r w:rsidR="00086559" w:rsidRPr="007A6AAC">
        <w:rPr>
          <w:rStyle w:val="normaltextrun"/>
          <w:rFonts w:eastAsiaTheme="majorEastAsia"/>
          <w:sz w:val="24"/>
        </w:rPr>
        <w:t xml:space="preserve">n las actividades económicas </w:t>
      </w:r>
      <w:r w:rsidRPr="007A6AAC">
        <w:rPr>
          <w:rStyle w:val="normaltextrun"/>
          <w:rFonts w:eastAsiaTheme="majorEastAsia"/>
          <w:sz w:val="24"/>
        </w:rPr>
        <w:t>de negocios instaurados actualmente en los barrios de intervención</w:t>
      </w:r>
      <w:r w:rsidR="00B1368C" w:rsidRPr="007A6AAC">
        <w:rPr>
          <w:rStyle w:val="normaltextrun"/>
          <w:rFonts w:eastAsiaTheme="majorEastAsia"/>
          <w:sz w:val="24"/>
        </w:rPr>
        <w:t>:</w:t>
      </w:r>
    </w:p>
    <w:p w14:paraId="7A9FB43F" w14:textId="77777777" w:rsidR="000A54B9" w:rsidRDefault="000A54B9" w:rsidP="007A6AAC">
      <w:pPr>
        <w:pStyle w:val="paragraph"/>
        <w:spacing w:before="0" w:beforeAutospacing="0" w:after="0" w:afterAutospacing="0" w:line="480" w:lineRule="auto"/>
        <w:ind w:firstLine="0"/>
        <w:textAlignment w:val="baseline"/>
        <w:rPr>
          <w:rStyle w:val="normaltextrun"/>
          <w:rFonts w:eastAsiaTheme="majorEastAsia"/>
          <w:sz w:val="24"/>
        </w:rPr>
      </w:pPr>
    </w:p>
    <w:p w14:paraId="56F14664"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67A7D23D" w14:textId="77777777" w:rsidR="007A6AAC" w:rsidRP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5BD2E08D" w14:textId="77777777" w:rsidR="000A54B9" w:rsidRDefault="000A54B9" w:rsidP="007A6AAC">
      <w:pPr>
        <w:pStyle w:val="paragraph"/>
        <w:spacing w:before="0" w:beforeAutospacing="0" w:after="0" w:afterAutospacing="0" w:line="480" w:lineRule="auto"/>
        <w:ind w:firstLine="0"/>
        <w:textAlignment w:val="baseline"/>
        <w:rPr>
          <w:rStyle w:val="normaltextrun"/>
          <w:rFonts w:eastAsiaTheme="majorEastAsia"/>
          <w:sz w:val="24"/>
        </w:rPr>
      </w:pPr>
    </w:p>
    <w:p w14:paraId="2C395B7B"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2F77580C"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1079A073"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250D1852"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026AD2A4"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571F90AE"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70FE3867"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63C6CC6A"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5C9CE83B"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0A860497"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526AD093"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639F0390" w14:textId="77777777" w:rsid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665899AE" w14:textId="77777777" w:rsidR="007A6AAC" w:rsidRP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p>
    <w:p w14:paraId="5AB33E6D" w14:textId="0054389E" w:rsidR="004B44C9" w:rsidRPr="007A6AAC" w:rsidRDefault="001910A6" w:rsidP="007A6AAC">
      <w:pPr>
        <w:pStyle w:val="paragraph"/>
        <w:spacing w:before="0" w:beforeAutospacing="0" w:after="0" w:afterAutospacing="0" w:line="480" w:lineRule="auto"/>
        <w:ind w:firstLine="0"/>
        <w:jc w:val="center"/>
        <w:textAlignment w:val="baseline"/>
        <w:rPr>
          <w:rStyle w:val="normaltextrun"/>
          <w:rFonts w:eastAsiaTheme="majorEastAsia"/>
          <w:i/>
          <w:iCs/>
          <w:sz w:val="24"/>
        </w:rPr>
      </w:pPr>
      <w:r w:rsidRPr="007A6AAC">
        <w:rPr>
          <w:rStyle w:val="normaltextrun"/>
          <w:rFonts w:eastAsiaTheme="majorEastAsia"/>
          <w:i/>
          <w:iCs/>
          <w:sz w:val="24"/>
        </w:rPr>
        <w:t>Gráfica 1. Actividades económicas de los negocios existentes en los asentamientos.</w:t>
      </w:r>
    </w:p>
    <w:p w14:paraId="3A0CB581" w14:textId="3739A605" w:rsidR="000A54B9" w:rsidRPr="007A6AAC" w:rsidRDefault="000A54B9" w:rsidP="007A6AAC">
      <w:pPr>
        <w:pStyle w:val="paragraph"/>
        <w:spacing w:before="0" w:beforeAutospacing="0" w:after="0" w:afterAutospacing="0" w:line="480" w:lineRule="auto"/>
        <w:ind w:firstLine="0"/>
        <w:jc w:val="center"/>
        <w:textAlignment w:val="baseline"/>
        <w:rPr>
          <w:rStyle w:val="normaltextrun"/>
          <w:rFonts w:eastAsiaTheme="majorEastAsia"/>
          <w:i/>
          <w:iCs/>
          <w:sz w:val="24"/>
        </w:rPr>
      </w:pPr>
      <w:r w:rsidRPr="007A6AAC">
        <w:rPr>
          <w:noProof/>
          <w:sz w:val="24"/>
        </w:rPr>
        <w:drawing>
          <wp:anchor distT="0" distB="0" distL="114300" distR="114300" simplePos="0" relativeHeight="251663360" behindDoc="0" locked="0" layoutInCell="1" allowOverlap="1" wp14:anchorId="39A2ECFA" wp14:editId="3A6A0086">
            <wp:simplePos x="0" y="0"/>
            <wp:positionH relativeFrom="margin">
              <wp:posOffset>0</wp:posOffset>
            </wp:positionH>
            <wp:positionV relativeFrom="paragraph">
              <wp:posOffset>266700</wp:posOffset>
            </wp:positionV>
            <wp:extent cx="5762625" cy="7038975"/>
            <wp:effectExtent l="0" t="0" r="9525" b="9525"/>
            <wp:wrapTopAndBottom/>
            <wp:docPr id="1" name="Gráfico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pic="http://schemas.openxmlformats.org/drawingml/2006/picture" xmlns:a14="http://schemas.microsoft.com/office/drawing/2010/main" xmlns:c="http://schemas.openxmlformats.org/drawingml/2006/chart" xmlns:a16="http://schemas.microsoft.com/office/drawing/2014/main" id="{82714E8B-CF73-4ADC-9442-B73568E971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V relativeFrom="margin">
              <wp14:pctHeight>0</wp14:pctHeight>
            </wp14:sizeRelV>
          </wp:anchor>
        </w:drawing>
      </w:r>
    </w:p>
    <w:p w14:paraId="5B48AAAA" w14:textId="6CEE2034" w:rsidR="00B1368C" w:rsidRPr="007A6AAC" w:rsidRDefault="000A54B9" w:rsidP="007A6AAC">
      <w:pPr>
        <w:pStyle w:val="paragraph"/>
        <w:spacing w:before="0" w:beforeAutospacing="0" w:after="0" w:afterAutospacing="0" w:line="480" w:lineRule="auto"/>
        <w:ind w:firstLine="0"/>
        <w:jc w:val="center"/>
        <w:textAlignment w:val="baseline"/>
        <w:rPr>
          <w:rStyle w:val="normaltextrun"/>
          <w:rFonts w:eastAsiaTheme="majorEastAsia"/>
          <w:sz w:val="24"/>
        </w:rPr>
      </w:pPr>
      <w:r w:rsidRPr="007A6AAC">
        <w:rPr>
          <w:rStyle w:val="normaltextrun"/>
          <w:rFonts w:eastAsiaTheme="majorEastAsia"/>
          <w:sz w:val="24"/>
        </w:rPr>
        <w:t>Fuente: Goal Colombia, 2023</w:t>
      </w:r>
    </w:p>
    <w:p w14:paraId="45941A5D" w14:textId="77777777" w:rsidR="00974D27" w:rsidRPr="007A6AAC" w:rsidRDefault="00974D27" w:rsidP="007A6AAC">
      <w:pPr>
        <w:pStyle w:val="paragraph"/>
        <w:spacing w:before="0" w:beforeAutospacing="0" w:afterAutospacing="0" w:line="480" w:lineRule="auto"/>
        <w:jc w:val="both"/>
        <w:rPr>
          <w:rFonts w:eastAsiaTheme="majorEastAsia"/>
          <w:sz w:val="24"/>
        </w:rPr>
      </w:pPr>
      <w:r w:rsidRPr="007A6AAC">
        <w:rPr>
          <w:rFonts w:eastAsiaTheme="majorEastAsia"/>
          <w:sz w:val="24"/>
        </w:rPr>
        <w:lastRenderedPageBreak/>
        <w:t xml:space="preserve">La variedad de las actividades económicas a las cuales los negocios establecidos en el asentamiento de José Antonio Galán es limitada por lo que hay poca oferta de bienes y servicios dirigidos principalmente a la comunidad de estas zonas. Se deben apoyar ideas y unidades de negocios complementarias a las instaladas en el barrio de intervención que nutran el mercado local y contribuya al mejoramiento de las condiciones de vida al tiempo que surjan más oportunidades de emplearse entre los mismos habitantes del lugar. </w:t>
      </w:r>
    </w:p>
    <w:p w14:paraId="5DC44E6E" w14:textId="77777777" w:rsidR="00974D27" w:rsidRPr="007A6AAC" w:rsidRDefault="00974D27" w:rsidP="007A6AAC">
      <w:pPr>
        <w:pStyle w:val="paragraph"/>
        <w:spacing w:before="0" w:beforeAutospacing="0" w:afterAutospacing="0" w:line="480" w:lineRule="auto"/>
        <w:jc w:val="both"/>
        <w:rPr>
          <w:rFonts w:eastAsiaTheme="majorEastAsia"/>
          <w:sz w:val="24"/>
        </w:rPr>
      </w:pPr>
      <w:r w:rsidRPr="007A6AAC">
        <w:rPr>
          <w:rFonts w:eastAsiaTheme="majorEastAsia"/>
          <w:sz w:val="24"/>
        </w:rPr>
        <w:t>En la gráfica 1 se puede observar la alta oferta de tiendas de barrio (14), servicios de belleza como peluquerías o salones de manicure (7) y chazas (5). La escaza demanda en el barrio no brinda garantías financieras para fortalecer o crear algunos negocios, pero si se generaría un conflicto entre los mismos propietarios de los establecimientos al observar un crecimiento de la competencia, afectando la estabilidad económica de las familias -que ya de por sí es vulnerable-.</w:t>
      </w:r>
    </w:p>
    <w:p w14:paraId="3B574E0B" w14:textId="01263EC7" w:rsidR="00974D27" w:rsidRDefault="00974D27" w:rsidP="007A6AAC">
      <w:pPr>
        <w:pStyle w:val="paragraph"/>
        <w:spacing w:before="0" w:beforeAutospacing="0" w:afterAutospacing="0" w:line="480" w:lineRule="auto"/>
        <w:jc w:val="both"/>
        <w:rPr>
          <w:rFonts w:eastAsiaTheme="majorEastAsia"/>
          <w:sz w:val="24"/>
        </w:rPr>
      </w:pPr>
      <w:r w:rsidRPr="007A6AAC">
        <w:rPr>
          <w:rFonts w:eastAsiaTheme="majorEastAsia"/>
          <w:sz w:val="24"/>
        </w:rPr>
        <w:t>Por otra parte, las personas que actualmente poseen algún tipo de negocio es el hecho de que la mayoría son colombianos (88,9% como lo expresa la gráfica 2), mujeres (92,3%) y sus ingresos mensuales rondan entre $400.000-$1’000.000 (60%). Por otra parte, solamente el 8,89% de los propietarios de estos negocios tienen contratados empleados, lo cual disminuye las posibilidades de conseguir un empleo dentro de la comunidad; el 72,22% de estas personas llevan al menos 6 años viviendo en el barrio, lo cual puede haber generado un fuerte arraigo a la zona y siendo reacios a tener que convivir con personas que vienen de otro país con una idiosincrasia diferente a la habitual en los asentamientos.</w:t>
      </w:r>
    </w:p>
    <w:p w14:paraId="3343009B" w14:textId="77777777" w:rsidR="007A6AAC" w:rsidRPr="007A6AAC" w:rsidRDefault="007A6AAC" w:rsidP="007A6AAC">
      <w:pPr>
        <w:pStyle w:val="paragraph"/>
        <w:spacing w:before="0" w:beforeAutospacing="0" w:afterAutospacing="0" w:line="480" w:lineRule="auto"/>
        <w:jc w:val="both"/>
        <w:rPr>
          <w:rFonts w:eastAsiaTheme="majorEastAsia"/>
          <w:sz w:val="24"/>
        </w:rPr>
      </w:pPr>
    </w:p>
    <w:p w14:paraId="48DBC5B4" w14:textId="149B7DB7" w:rsidR="00974D27" w:rsidRPr="007A6AAC" w:rsidRDefault="007A6AAC" w:rsidP="007A6AAC">
      <w:pPr>
        <w:pStyle w:val="paragraph"/>
        <w:spacing w:before="0" w:beforeAutospacing="0" w:after="0" w:afterAutospacing="0" w:line="480" w:lineRule="auto"/>
        <w:ind w:firstLine="0"/>
        <w:textAlignment w:val="baseline"/>
        <w:rPr>
          <w:rStyle w:val="normaltextrun"/>
          <w:rFonts w:eastAsiaTheme="majorEastAsia"/>
          <w:sz w:val="24"/>
        </w:rPr>
      </w:pPr>
      <w:r w:rsidRPr="007A6AAC">
        <w:rPr>
          <w:i/>
          <w:iCs/>
          <w:noProof/>
          <w:sz w:val="24"/>
        </w:rPr>
        <w:lastRenderedPageBreak/>
        <w:drawing>
          <wp:anchor distT="0" distB="0" distL="114300" distR="114300" simplePos="0" relativeHeight="251665408" behindDoc="0" locked="0" layoutInCell="1" allowOverlap="1" wp14:anchorId="4BBCF717" wp14:editId="6A4ECFD4">
            <wp:simplePos x="0" y="0"/>
            <wp:positionH relativeFrom="margin">
              <wp:align>center</wp:align>
            </wp:positionH>
            <wp:positionV relativeFrom="paragraph">
              <wp:posOffset>938530</wp:posOffset>
            </wp:positionV>
            <wp:extent cx="3324225" cy="2085975"/>
            <wp:effectExtent l="0" t="0" r="0" b="0"/>
            <wp:wrapTopAndBottom/>
            <wp:docPr id="3" name="Gráfico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pic="http://schemas.openxmlformats.org/drawingml/2006/picture" xmlns:a14="http://schemas.microsoft.com/office/drawing/2010/main" xmlns:c="http://schemas.openxmlformats.org/drawingml/2006/chart" xmlns:a16="http://schemas.microsoft.com/office/drawing/2014/main" id="{1676E6E3-064C-4E6D-811F-39853386C2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margin">
              <wp14:pctWidth>0</wp14:pctWidth>
            </wp14:sizeRelH>
            <wp14:sizeRelV relativeFrom="margin">
              <wp14:pctHeight>0</wp14:pctHeight>
            </wp14:sizeRelV>
          </wp:anchor>
        </w:drawing>
      </w:r>
    </w:p>
    <w:p w14:paraId="72DFB31A" w14:textId="5A9EAE8F" w:rsidR="00974D27" w:rsidRPr="007A6AAC" w:rsidRDefault="00974D27" w:rsidP="007A6AAC">
      <w:pPr>
        <w:pStyle w:val="paragraph"/>
        <w:spacing w:before="0" w:beforeAutospacing="0" w:afterAutospacing="0" w:line="480" w:lineRule="auto"/>
        <w:jc w:val="center"/>
        <w:rPr>
          <w:i/>
          <w:iCs/>
          <w:noProof/>
          <w:sz w:val="24"/>
        </w:rPr>
      </w:pPr>
      <w:r w:rsidRPr="007A6AAC">
        <w:rPr>
          <w:i/>
          <w:iCs/>
          <w:noProof/>
          <w:sz w:val="24"/>
        </w:rPr>
        <mc:AlternateContent>
          <mc:Choice Requires="wps">
            <w:drawing>
              <wp:anchor distT="0" distB="0" distL="114300" distR="114300" simplePos="0" relativeHeight="251666432" behindDoc="0" locked="0" layoutInCell="1" allowOverlap="1" wp14:anchorId="210BD7CA" wp14:editId="5E623580">
                <wp:simplePos x="0" y="0"/>
                <wp:positionH relativeFrom="column">
                  <wp:posOffset>0</wp:posOffset>
                </wp:positionH>
                <wp:positionV relativeFrom="paragraph">
                  <wp:posOffset>67945</wp:posOffset>
                </wp:positionV>
                <wp:extent cx="5895975" cy="457200"/>
                <wp:effectExtent l="0" t="0" r="9525" b="0"/>
                <wp:wrapTopAndBottom/>
                <wp:docPr id="12" name="Cuadro de texto 12"/>
                <wp:cNvGraphicFramePr/>
                <a:graphic xmlns:a="http://schemas.openxmlformats.org/drawingml/2006/main">
                  <a:graphicData uri="http://schemas.microsoft.com/office/word/2010/wordprocessingShape">
                    <wps:wsp>
                      <wps:cNvSpPr txBox="1"/>
                      <wps:spPr>
                        <a:xfrm>
                          <a:off x="0" y="0"/>
                          <a:ext cx="5895975" cy="457200"/>
                        </a:xfrm>
                        <a:prstGeom prst="rect">
                          <a:avLst/>
                        </a:prstGeom>
                        <a:solidFill>
                          <a:prstClr val="white"/>
                        </a:solidFill>
                        <a:ln>
                          <a:noFill/>
                        </a:ln>
                        <a:effectLst/>
                      </wps:spPr>
                      <wps:txbx>
                        <w:txbxContent>
                          <w:p w14:paraId="7E4EB618" w14:textId="77777777" w:rsidR="00974D27" w:rsidRPr="006E79AA" w:rsidRDefault="00974D27" w:rsidP="00974D27">
                            <w:pPr>
                              <w:pStyle w:val="Descripcin"/>
                              <w:rPr>
                                <w:rFonts w:cs="Times New Roman"/>
                                <w:noProof/>
                              </w:rPr>
                            </w:pPr>
                            <w:bookmarkStart w:id="1" w:name="_Toc144452517"/>
                            <w:r>
                              <w:t xml:space="preserve">Ilustración </w:t>
                            </w:r>
                            <w:r w:rsidR="00B47252">
                              <w:fldChar w:fldCharType="begin"/>
                            </w:r>
                            <w:r w:rsidR="00B47252">
                              <w:instrText xml:space="preserve"> SEQ Ilustración \* ARABIC </w:instrText>
                            </w:r>
                            <w:r w:rsidR="00B47252">
                              <w:fldChar w:fldCharType="separate"/>
                            </w:r>
                            <w:r>
                              <w:rPr>
                                <w:noProof/>
                              </w:rPr>
                              <w:t>2</w:t>
                            </w:r>
                            <w:r w:rsidR="00B47252">
                              <w:rPr>
                                <w:noProof/>
                              </w:rPr>
                              <w:fldChar w:fldCharType="end"/>
                            </w:r>
                            <w:r>
                              <w:t xml:space="preserve">: </w:t>
                            </w:r>
                            <w:r w:rsidRPr="004D3576">
                              <w:rPr>
                                <w:noProof/>
                              </w:rPr>
                              <w:t>Nacionalidad del propietario con un negocio existente</w:t>
                            </w:r>
                            <w:bookmarkEnd w:id="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210BD7CA" id="_x0000_t202" coordsize="21600,21600" o:spt="202" path="m,l,21600r21600,l21600,xe">
                <v:stroke joinstyle="miter"/>
                <v:path gradientshapeok="t" o:connecttype="rect"/>
              </v:shapetype>
              <v:shape id="Cuadro de texto 12" o:spid="_x0000_s1026" type="#_x0000_t202" style="position:absolute;left:0;text-align:left;margin-left:0;margin-top:5.35pt;width:464.25pt;height:36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" stroked="f">
                <v:textbox inset="0,0,0,0">
                  <w:txbxContent>
                    <w:p w14:paraId="7E4EB618" w14:textId="77777777" w:rsidR="00974D27" w:rsidRPr="006E79AA" w:rsidRDefault="00974D27" w:rsidP="00974D27">
                      <w:pPr>
                        <w:pStyle w:val="Descripcin"/>
                        <w:rPr>
                          <w:rFonts w:cs="Times New Roman"/>
                          <w:noProof/>
                        </w:rPr>
                      </w:pPr>
                      <w:bookmarkStart w:id="2" w:name="_Toc144452517"/>
                      <w:r>
                        <w:t xml:space="preserve">Ilustración </w:t>
                      </w:r>
                      <w:r w:rsidR="00B47252">
                        <w:fldChar w:fldCharType="begin"/>
                      </w:r>
                      <w:r w:rsidR="00B47252">
                        <w:instrText xml:space="preserve"> SEQ Ilustración \* ARABIC </w:instrText>
                      </w:r>
                      <w:r w:rsidR="00B47252">
                        <w:fldChar w:fldCharType="separate"/>
                      </w:r>
                      <w:r>
                        <w:rPr>
                          <w:noProof/>
                        </w:rPr>
                        <w:t>2</w:t>
                      </w:r>
                      <w:r w:rsidR="00B47252">
                        <w:rPr>
                          <w:noProof/>
                        </w:rPr>
                        <w:fldChar w:fldCharType="end"/>
                      </w:r>
                      <w:r>
                        <w:t xml:space="preserve">: </w:t>
                      </w:r>
                      <w:r w:rsidRPr="004D3576">
                        <w:rPr>
                          <w:noProof/>
                        </w:rPr>
                        <w:t>Nacionalidad del propietario con un negocio existente</w:t>
                      </w:r>
                      <w:bookmarkEnd w:id="2"/>
                    </w:p>
                  </w:txbxContent>
                </v:textbox>
                <w10:wrap type="topAndBottom"/>
              </v:shape>
            </w:pict>
          </mc:Fallback>
        </mc:AlternateContent>
      </w:r>
      <w:r w:rsidR="00E703BD" w:rsidRPr="007A6AAC">
        <w:rPr>
          <w:i/>
          <w:iCs/>
          <w:noProof/>
          <w:sz w:val="24"/>
        </w:rPr>
        <w:t>Fuente: Autor</w:t>
      </w:r>
    </w:p>
    <w:p w14:paraId="0AE6D293" w14:textId="77777777" w:rsidR="00974D27" w:rsidRPr="007A6AAC" w:rsidRDefault="00974D27" w:rsidP="007A6AAC">
      <w:pPr>
        <w:pStyle w:val="paragraph"/>
        <w:spacing w:before="0" w:beforeAutospacing="0" w:afterAutospacing="0" w:line="480" w:lineRule="auto"/>
        <w:jc w:val="both"/>
        <w:rPr>
          <w:iCs/>
          <w:noProof/>
          <w:sz w:val="24"/>
          <w:lang w:val="en-US"/>
        </w:rPr>
      </w:pPr>
      <w:r w:rsidRPr="007A6AAC">
        <w:rPr>
          <w:iCs/>
          <w:noProof/>
          <w:sz w:val="24"/>
          <w:lang w:val="es-ES"/>
        </w:rPr>
        <w:t>El gráfico circular que ilustra las postulaciones para las capacitaciones presenta un perfil participativo donde el 88,9% de los postulantes son de nacionalidad colombiana, mientras que los venezolanos representan el 11,1% restante del total. Estos datos reflejan una mayor presencia de ciudadanos colombianos interesados en aprovechar estas oportunidades de formación y desarrollo.</w:t>
      </w:r>
    </w:p>
    <w:p w14:paraId="54291B0E" w14:textId="77777777" w:rsidR="00974D27" w:rsidRPr="007A6AAC" w:rsidRDefault="00974D27" w:rsidP="007A6AAC">
      <w:pPr>
        <w:pStyle w:val="paragraph"/>
        <w:spacing w:before="0" w:beforeAutospacing="0" w:afterAutospacing="0" w:line="480" w:lineRule="auto"/>
        <w:jc w:val="both"/>
        <w:rPr>
          <w:iCs/>
          <w:noProof/>
          <w:sz w:val="24"/>
          <w:lang w:val="en-US"/>
        </w:rPr>
      </w:pPr>
    </w:p>
    <w:p w14:paraId="47FFD721" w14:textId="77777777" w:rsidR="00974D27" w:rsidRPr="007A6AAC" w:rsidRDefault="00974D27" w:rsidP="007A6AAC">
      <w:pPr>
        <w:pStyle w:val="paragraph"/>
        <w:spacing w:before="0" w:after="0" w:line="480" w:lineRule="auto"/>
        <w:ind w:firstLine="0"/>
        <w:jc w:val="both"/>
        <w:textAlignment w:val="baseline"/>
        <w:rPr>
          <w:iCs/>
          <w:noProof/>
          <w:sz w:val="24"/>
          <w:lang w:val="es-ES"/>
        </w:rPr>
      </w:pPr>
      <w:bookmarkStart w:id="3" w:name="_Toc144452518"/>
      <w:r w:rsidRPr="007A6AAC">
        <w:rPr>
          <w:iCs/>
          <w:noProof/>
          <w:sz w:val="24"/>
          <w:lang w:val="es-ES"/>
        </w:rPr>
        <w:t xml:space="preserve">Ilustración </w:t>
      </w:r>
      <w:r w:rsidRPr="007A6AAC">
        <w:rPr>
          <w:iCs/>
          <w:noProof/>
          <w:sz w:val="24"/>
          <w:lang w:val="es-ES"/>
        </w:rPr>
        <w:fldChar w:fldCharType="begin"/>
      </w:r>
      <w:r w:rsidRPr="007A6AAC">
        <w:rPr>
          <w:iCs/>
          <w:noProof/>
          <w:sz w:val="24"/>
          <w:lang w:val="es-ES"/>
        </w:rPr>
        <w:instrText xml:space="preserve"> SEQ Ilustración \* ARABIC </w:instrText>
      </w:r>
      <w:r w:rsidRPr="007A6AAC">
        <w:rPr>
          <w:iCs/>
          <w:noProof/>
          <w:sz w:val="24"/>
          <w:lang w:val="es-ES"/>
        </w:rPr>
        <w:fldChar w:fldCharType="separate"/>
      </w:r>
      <w:r w:rsidRPr="007A6AAC">
        <w:rPr>
          <w:iCs/>
          <w:noProof/>
          <w:sz w:val="24"/>
          <w:lang w:val="es-ES"/>
        </w:rPr>
        <w:t>3</w:t>
      </w:r>
      <w:r w:rsidRPr="007A6AAC">
        <w:rPr>
          <w:iCs/>
          <w:noProof/>
          <w:sz w:val="24"/>
        </w:rPr>
        <w:fldChar w:fldCharType="end"/>
      </w:r>
      <w:r w:rsidRPr="007A6AAC">
        <w:rPr>
          <w:iCs/>
          <w:noProof/>
          <w:sz w:val="24"/>
          <w:lang w:val="es-ES"/>
        </w:rPr>
        <w:t xml:space="preserve">: </w:t>
      </w:r>
      <w:r w:rsidRPr="007A6AAC">
        <w:rPr>
          <w:iCs/>
          <w:noProof/>
          <w:sz w:val="24"/>
          <w:lang w:val="en-US"/>
        </w:rPr>
        <w:t>Género de los participantes</w:t>
      </w:r>
      <w:bookmarkEnd w:id="3"/>
    </w:p>
    <w:p w14:paraId="3CECEE2C" w14:textId="77777777" w:rsidR="00974D27" w:rsidRPr="007A6AAC" w:rsidRDefault="00974D27" w:rsidP="007A6AAC">
      <w:pPr>
        <w:pStyle w:val="paragraph"/>
        <w:spacing w:before="0" w:beforeAutospacing="0" w:afterAutospacing="0" w:line="480" w:lineRule="auto"/>
        <w:jc w:val="center"/>
        <w:rPr>
          <w:iCs/>
          <w:noProof/>
          <w:sz w:val="24"/>
        </w:rPr>
      </w:pPr>
      <w:r w:rsidRPr="007A6AAC">
        <w:rPr>
          <w:iCs/>
          <w:noProof/>
          <w:sz w:val="24"/>
        </w:rPr>
        <w:lastRenderedPageBreak/>
        <w:drawing>
          <wp:inline distT="0" distB="0" distL="0" distR="0" wp14:anchorId="78AB5686" wp14:editId="7E594C4D">
            <wp:extent cx="3390900" cy="2324100"/>
            <wp:effectExtent l="0" t="0" r="0" b="0"/>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436F090F" w14:textId="77777777" w:rsidR="00E703BD" w:rsidRPr="007A6AAC" w:rsidRDefault="00E703BD" w:rsidP="007A6AAC">
      <w:pPr>
        <w:pStyle w:val="paragraph"/>
        <w:spacing w:before="0" w:beforeAutospacing="0" w:afterAutospacing="0" w:line="480" w:lineRule="auto"/>
        <w:jc w:val="center"/>
        <w:rPr>
          <w:i/>
          <w:iCs/>
          <w:noProof/>
          <w:sz w:val="24"/>
        </w:rPr>
      </w:pPr>
      <w:r w:rsidRPr="007A6AAC">
        <w:rPr>
          <w:i/>
          <w:iCs/>
          <w:noProof/>
          <w:sz w:val="24"/>
        </w:rPr>
        <w:t>Fuente: Autor</w:t>
      </w:r>
    </w:p>
    <w:p w14:paraId="10C3D27F" w14:textId="77777777" w:rsidR="00E703BD" w:rsidRPr="007A6AAC" w:rsidRDefault="00E703BD" w:rsidP="007A6AAC">
      <w:pPr>
        <w:pStyle w:val="paragraph"/>
        <w:spacing w:before="0" w:beforeAutospacing="0" w:afterAutospacing="0" w:line="480" w:lineRule="auto"/>
        <w:jc w:val="both"/>
        <w:rPr>
          <w:iCs/>
          <w:noProof/>
          <w:sz w:val="24"/>
          <w:lang w:val="es-ES"/>
        </w:rPr>
      </w:pPr>
    </w:p>
    <w:p w14:paraId="6879D803" w14:textId="77777777" w:rsidR="00974D27" w:rsidRPr="007A6AAC" w:rsidRDefault="00974D27" w:rsidP="007A6AAC">
      <w:pPr>
        <w:pStyle w:val="paragraph"/>
        <w:spacing w:before="0" w:beforeAutospacing="0" w:afterAutospacing="0" w:line="480" w:lineRule="auto"/>
        <w:jc w:val="both"/>
        <w:rPr>
          <w:iCs/>
          <w:noProof/>
          <w:sz w:val="24"/>
          <w:lang w:val="es-ES"/>
        </w:rPr>
      </w:pPr>
      <w:r w:rsidRPr="007A6AAC">
        <w:rPr>
          <w:iCs/>
          <w:noProof/>
          <w:sz w:val="24"/>
          <w:lang w:val="es-ES"/>
        </w:rPr>
        <w:t>El gráfico circular que representa las postulaciones para las capacitaciones destaca un notable desequilibrio en la participación por género, donde el 92,3% de los postulantes son mujeres, mientras que los hombres representan apenas el 7,7% del total. Estos resultados sugieren un interés significativo por parte de las mujeres en aprovechar las oportunidades de aprendizaje proporcionadas por las capacitaciones. Este alto nivel de participación femenina es un indicador alentador de su deseo de mejorar sus habilidades y conocimientos, lo que demuestra su compromiso con el desarrollo personal y profesional.</w:t>
      </w:r>
    </w:p>
    <w:p w14:paraId="2560D69D" w14:textId="77777777" w:rsidR="00974D27" w:rsidRPr="007A6AAC" w:rsidRDefault="00974D27" w:rsidP="007A6AAC">
      <w:pPr>
        <w:pStyle w:val="paragraph"/>
        <w:spacing w:before="0" w:beforeAutospacing="0" w:afterAutospacing="0" w:line="480" w:lineRule="auto"/>
        <w:jc w:val="both"/>
        <w:rPr>
          <w:iCs/>
          <w:noProof/>
          <w:sz w:val="24"/>
          <w:lang w:val="es-ES"/>
        </w:rPr>
      </w:pPr>
      <w:bookmarkStart w:id="4" w:name="_Toc144452519"/>
      <w:r w:rsidRPr="007A6AAC">
        <w:rPr>
          <w:iCs/>
          <w:noProof/>
          <w:sz w:val="24"/>
        </w:rPr>
        <w:t xml:space="preserve">Ilustración </w:t>
      </w:r>
      <w:r w:rsidRPr="007A6AAC">
        <w:rPr>
          <w:iCs/>
          <w:noProof/>
          <w:sz w:val="24"/>
        </w:rPr>
        <w:fldChar w:fldCharType="begin"/>
      </w:r>
      <w:r w:rsidRPr="007A6AAC">
        <w:rPr>
          <w:iCs/>
          <w:noProof/>
          <w:sz w:val="24"/>
        </w:rPr>
        <w:instrText xml:space="preserve"> SEQ Ilustración \* ARABIC </w:instrText>
      </w:r>
      <w:r w:rsidRPr="007A6AAC">
        <w:rPr>
          <w:iCs/>
          <w:noProof/>
          <w:sz w:val="24"/>
        </w:rPr>
        <w:fldChar w:fldCharType="separate"/>
      </w:r>
      <w:r w:rsidRPr="007A6AAC">
        <w:rPr>
          <w:iCs/>
          <w:noProof/>
          <w:sz w:val="24"/>
        </w:rPr>
        <w:t>4</w:t>
      </w:r>
      <w:r w:rsidRPr="007A6AAC">
        <w:rPr>
          <w:iCs/>
          <w:noProof/>
          <w:sz w:val="24"/>
        </w:rPr>
        <w:fldChar w:fldCharType="end"/>
      </w:r>
      <w:r w:rsidRPr="007A6AAC">
        <w:rPr>
          <w:iCs/>
          <w:noProof/>
          <w:sz w:val="24"/>
        </w:rPr>
        <w:t xml:space="preserve">: </w:t>
      </w:r>
      <w:r w:rsidRPr="007A6AAC">
        <w:rPr>
          <w:iCs/>
          <w:noProof/>
          <w:sz w:val="24"/>
          <w:lang w:val="es-ES"/>
        </w:rPr>
        <w:t>Número de empleos generados por el negocio</w:t>
      </w:r>
      <w:bookmarkEnd w:id="4"/>
    </w:p>
    <w:p w14:paraId="0F16119D" w14:textId="77777777" w:rsidR="00974D27" w:rsidRPr="007A6AAC" w:rsidRDefault="00974D27" w:rsidP="007A6AAC">
      <w:pPr>
        <w:pStyle w:val="paragraph"/>
        <w:spacing w:before="0" w:beforeAutospacing="0" w:afterAutospacing="0" w:line="480" w:lineRule="auto"/>
        <w:jc w:val="center"/>
        <w:rPr>
          <w:iCs/>
          <w:noProof/>
          <w:sz w:val="24"/>
        </w:rPr>
      </w:pPr>
      <w:r w:rsidRPr="007A6AAC">
        <w:rPr>
          <w:iCs/>
          <w:noProof/>
          <w:sz w:val="24"/>
        </w:rPr>
        <w:lastRenderedPageBreak/>
        <w:drawing>
          <wp:inline distT="0" distB="0" distL="0" distR="0" wp14:anchorId="44C82A17" wp14:editId="50D3362B">
            <wp:extent cx="3533775" cy="2400300"/>
            <wp:effectExtent l="0" t="0" r="9525" b="0"/>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5BB63C3" w14:textId="77D868FE" w:rsidR="00E703BD" w:rsidRPr="007A6AAC" w:rsidRDefault="00E703BD" w:rsidP="007A6AAC">
      <w:pPr>
        <w:pStyle w:val="paragraph"/>
        <w:spacing w:before="0" w:beforeAutospacing="0" w:afterAutospacing="0" w:line="480" w:lineRule="auto"/>
        <w:jc w:val="center"/>
        <w:rPr>
          <w:i/>
          <w:iCs/>
          <w:noProof/>
          <w:sz w:val="24"/>
        </w:rPr>
      </w:pPr>
      <w:r w:rsidRPr="007A6AAC">
        <w:rPr>
          <w:i/>
          <w:iCs/>
          <w:noProof/>
          <w:sz w:val="24"/>
        </w:rPr>
        <w:t>Fuente: Autor</w:t>
      </w:r>
    </w:p>
    <w:p w14:paraId="5CAE7FF0" w14:textId="77777777" w:rsidR="00974D27" w:rsidRDefault="00974D27" w:rsidP="007A6AAC">
      <w:pPr>
        <w:pStyle w:val="paragraph"/>
        <w:spacing w:before="0" w:beforeAutospacing="0" w:afterAutospacing="0" w:line="480" w:lineRule="auto"/>
        <w:jc w:val="both"/>
        <w:rPr>
          <w:iCs/>
          <w:noProof/>
          <w:sz w:val="24"/>
          <w:lang w:val="es-ES"/>
        </w:rPr>
      </w:pPr>
      <w:r w:rsidRPr="007A6AAC">
        <w:rPr>
          <w:iCs/>
          <w:noProof/>
          <w:sz w:val="24"/>
          <w:lang w:val="es-ES"/>
        </w:rPr>
        <w:t>Se refleja una clara diferencia en la composición entre los dos grupos de negocios analizados: aquellos con empleados y aquellos sin empleados. Los datos muestran que el 8.89% de los negocios cuentan con empleados, mientras que el 91.11% son negocios sin empleados. Está marcada mayoría de negocios sin empleados sugiere un alto nivel de emprendimiento individual y pequeñas empresas que operan de manera autónoma, lo que podría tener implicaciones importantes para la economía local y el mercado laboral. Es esencial tener en cuenta esta disparidad al planificar estrategias y políticas de apoyo a los negocios, con el objetivo de fomentar el crecimiento sostenible de ambos tipos de emprendimientos y maximizar su impacto en la comunidad.</w:t>
      </w:r>
    </w:p>
    <w:p w14:paraId="2C7B0983" w14:textId="77777777" w:rsidR="007A6AAC" w:rsidRDefault="007A6AAC" w:rsidP="007A6AAC">
      <w:pPr>
        <w:pStyle w:val="paragraph"/>
        <w:spacing w:before="0" w:beforeAutospacing="0" w:afterAutospacing="0" w:line="480" w:lineRule="auto"/>
        <w:jc w:val="both"/>
        <w:rPr>
          <w:iCs/>
          <w:noProof/>
          <w:sz w:val="24"/>
          <w:lang w:val="es-ES"/>
        </w:rPr>
      </w:pPr>
    </w:p>
    <w:p w14:paraId="0A8851C5" w14:textId="77777777" w:rsidR="007A6AAC" w:rsidRDefault="007A6AAC" w:rsidP="007A6AAC">
      <w:pPr>
        <w:pStyle w:val="paragraph"/>
        <w:spacing w:before="0" w:beforeAutospacing="0" w:afterAutospacing="0" w:line="480" w:lineRule="auto"/>
        <w:jc w:val="both"/>
        <w:rPr>
          <w:iCs/>
          <w:noProof/>
          <w:sz w:val="24"/>
          <w:lang w:val="es-ES"/>
        </w:rPr>
      </w:pPr>
    </w:p>
    <w:p w14:paraId="2AB5AC6A" w14:textId="77777777" w:rsidR="007A6AAC" w:rsidRDefault="007A6AAC" w:rsidP="007A6AAC">
      <w:pPr>
        <w:pStyle w:val="paragraph"/>
        <w:spacing w:before="0" w:beforeAutospacing="0" w:afterAutospacing="0" w:line="480" w:lineRule="auto"/>
        <w:jc w:val="both"/>
        <w:rPr>
          <w:iCs/>
          <w:noProof/>
          <w:sz w:val="24"/>
          <w:lang w:val="es-ES"/>
        </w:rPr>
      </w:pPr>
    </w:p>
    <w:p w14:paraId="16A41AAE" w14:textId="77777777" w:rsidR="007A6AAC" w:rsidRDefault="007A6AAC" w:rsidP="007A6AAC">
      <w:pPr>
        <w:pStyle w:val="paragraph"/>
        <w:spacing w:before="0" w:beforeAutospacing="0" w:afterAutospacing="0" w:line="480" w:lineRule="auto"/>
        <w:jc w:val="both"/>
        <w:rPr>
          <w:iCs/>
          <w:noProof/>
          <w:sz w:val="24"/>
          <w:lang w:val="es-ES"/>
        </w:rPr>
      </w:pPr>
    </w:p>
    <w:p w14:paraId="30A03338" w14:textId="77777777" w:rsidR="007A6AAC" w:rsidRPr="007A6AAC" w:rsidRDefault="007A6AAC" w:rsidP="007A6AAC">
      <w:pPr>
        <w:pStyle w:val="paragraph"/>
        <w:spacing w:before="0" w:beforeAutospacing="0" w:afterAutospacing="0" w:line="480" w:lineRule="auto"/>
        <w:jc w:val="both"/>
        <w:rPr>
          <w:iCs/>
          <w:noProof/>
          <w:sz w:val="24"/>
          <w:lang w:val="es-ES"/>
        </w:rPr>
      </w:pPr>
    </w:p>
    <w:p w14:paraId="2D6EF41A" w14:textId="77777777" w:rsidR="00974D27" w:rsidRPr="007A6AAC" w:rsidRDefault="00974D27" w:rsidP="007A6AAC">
      <w:pPr>
        <w:pStyle w:val="paragraph"/>
        <w:spacing w:before="0" w:beforeAutospacing="0" w:afterAutospacing="0" w:line="480" w:lineRule="auto"/>
        <w:jc w:val="both"/>
        <w:rPr>
          <w:iCs/>
          <w:noProof/>
          <w:sz w:val="24"/>
          <w:lang w:val="es-ES"/>
        </w:rPr>
      </w:pPr>
      <w:bookmarkStart w:id="5" w:name="_Toc144452520"/>
      <w:r w:rsidRPr="007A6AAC">
        <w:rPr>
          <w:iCs/>
          <w:noProof/>
          <w:sz w:val="24"/>
        </w:rPr>
        <w:lastRenderedPageBreak/>
        <w:t xml:space="preserve">Ilustración </w:t>
      </w:r>
      <w:r w:rsidRPr="007A6AAC">
        <w:rPr>
          <w:iCs/>
          <w:noProof/>
          <w:sz w:val="24"/>
        </w:rPr>
        <w:fldChar w:fldCharType="begin"/>
      </w:r>
      <w:r w:rsidRPr="007A6AAC">
        <w:rPr>
          <w:iCs/>
          <w:noProof/>
          <w:sz w:val="24"/>
        </w:rPr>
        <w:instrText xml:space="preserve"> SEQ Ilustración \* ARABIC </w:instrText>
      </w:r>
      <w:r w:rsidRPr="007A6AAC">
        <w:rPr>
          <w:iCs/>
          <w:noProof/>
          <w:sz w:val="24"/>
        </w:rPr>
        <w:fldChar w:fldCharType="separate"/>
      </w:r>
      <w:r w:rsidRPr="007A6AAC">
        <w:rPr>
          <w:iCs/>
          <w:noProof/>
          <w:sz w:val="24"/>
        </w:rPr>
        <w:t>5</w:t>
      </w:r>
      <w:r w:rsidRPr="007A6AAC">
        <w:rPr>
          <w:iCs/>
          <w:noProof/>
          <w:sz w:val="24"/>
        </w:rPr>
        <w:fldChar w:fldCharType="end"/>
      </w:r>
      <w:r w:rsidRPr="007A6AAC">
        <w:rPr>
          <w:iCs/>
          <w:noProof/>
          <w:sz w:val="24"/>
        </w:rPr>
        <w:t xml:space="preserve">: </w:t>
      </w:r>
      <w:r w:rsidRPr="007A6AAC">
        <w:rPr>
          <w:iCs/>
          <w:noProof/>
          <w:sz w:val="24"/>
          <w:lang w:val="es-ES"/>
        </w:rPr>
        <w:t>Tiempo que llevan los participantes viviendo en el asentamiento</w:t>
      </w:r>
      <w:bookmarkEnd w:id="5"/>
    </w:p>
    <w:p w14:paraId="14976217" w14:textId="77777777" w:rsidR="00974D27" w:rsidRPr="007A6AAC" w:rsidRDefault="00974D27" w:rsidP="007A6AAC">
      <w:pPr>
        <w:pStyle w:val="paragraph"/>
        <w:spacing w:before="0" w:beforeAutospacing="0" w:afterAutospacing="0" w:line="480" w:lineRule="auto"/>
        <w:jc w:val="center"/>
        <w:rPr>
          <w:iCs/>
          <w:noProof/>
          <w:sz w:val="24"/>
          <w:lang w:val="es-ES"/>
        </w:rPr>
      </w:pPr>
      <w:r w:rsidRPr="007A6AAC">
        <w:rPr>
          <w:iCs/>
          <w:noProof/>
          <w:sz w:val="24"/>
        </w:rPr>
        <w:drawing>
          <wp:inline distT="0" distB="0" distL="0" distR="0" wp14:anchorId="782E1472" wp14:editId="5D740E64">
            <wp:extent cx="3467100" cy="2828925"/>
            <wp:effectExtent l="0" t="0" r="0" b="9525"/>
            <wp:docPr id="15" name="Grá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440C1D9" w14:textId="1A888B8E" w:rsidR="00E703BD" w:rsidRPr="007A6AAC" w:rsidRDefault="00E703BD" w:rsidP="007A6AAC">
      <w:pPr>
        <w:pStyle w:val="paragraph"/>
        <w:spacing w:before="0" w:beforeAutospacing="0" w:afterAutospacing="0" w:line="480" w:lineRule="auto"/>
        <w:jc w:val="center"/>
        <w:rPr>
          <w:i/>
          <w:iCs/>
          <w:noProof/>
          <w:sz w:val="24"/>
        </w:rPr>
      </w:pPr>
      <w:r w:rsidRPr="007A6AAC">
        <w:rPr>
          <w:i/>
          <w:iCs/>
          <w:noProof/>
          <w:sz w:val="24"/>
        </w:rPr>
        <w:t>Fuente: Autor</w:t>
      </w:r>
    </w:p>
    <w:p w14:paraId="0E9ABB44" w14:textId="77777777" w:rsidR="00974D27" w:rsidRPr="007A6AAC" w:rsidRDefault="00974D27" w:rsidP="007A6AAC">
      <w:pPr>
        <w:pStyle w:val="paragraph"/>
        <w:spacing w:before="0" w:beforeAutospacing="0" w:afterAutospacing="0" w:line="480" w:lineRule="auto"/>
        <w:jc w:val="both"/>
        <w:rPr>
          <w:iCs/>
          <w:noProof/>
          <w:sz w:val="24"/>
          <w:lang w:val="es-ES"/>
        </w:rPr>
      </w:pPr>
      <w:r w:rsidRPr="007A6AAC">
        <w:rPr>
          <w:iCs/>
          <w:noProof/>
          <w:sz w:val="24"/>
          <w:lang w:val="es-ES"/>
        </w:rPr>
        <w:t>Se revela una perspectiva interesante sobre la duración de la residencia de las personas en el barrio. Los datos muestran que el 72,22% de los encuestados han estado viviendo en el barrio durante 6 años o más, mientras que el 27,78% ha estado aquí por menos de 6 años. Esto sugiere una comunidad relativamente estable, con una mayoría significativa de residentes a largo plazo, lo que puede ser indicativo de un sentimiento arraigado en el vecindario y una posible contribución a la cohesión social.</w:t>
      </w:r>
    </w:p>
    <w:p w14:paraId="610EC7F0" w14:textId="77777777" w:rsidR="00974D27" w:rsidRPr="007A6AAC" w:rsidRDefault="00974D27" w:rsidP="007A6AAC">
      <w:pPr>
        <w:pStyle w:val="paragraph"/>
        <w:spacing w:before="0" w:beforeAutospacing="0" w:afterAutospacing="0" w:line="480" w:lineRule="auto"/>
        <w:jc w:val="both"/>
        <w:rPr>
          <w:iCs/>
          <w:noProof/>
          <w:sz w:val="24"/>
          <w:lang w:val="es-ES"/>
        </w:rPr>
      </w:pPr>
    </w:p>
    <w:p w14:paraId="0F1930C9" w14:textId="77777777" w:rsidR="00974D27" w:rsidRDefault="00974D27" w:rsidP="007A6AAC">
      <w:pPr>
        <w:pStyle w:val="paragraph"/>
        <w:spacing w:before="0" w:beforeAutospacing="0" w:afterAutospacing="0" w:line="480" w:lineRule="auto"/>
        <w:jc w:val="both"/>
        <w:rPr>
          <w:iCs/>
          <w:noProof/>
          <w:sz w:val="24"/>
          <w:lang w:val="es-ES"/>
        </w:rPr>
      </w:pPr>
    </w:p>
    <w:p w14:paraId="4859044B" w14:textId="77777777" w:rsidR="007A6AAC" w:rsidRDefault="007A6AAC" w:rsidP="007A6AAC">
      <w:pPr>
        <w:pStyle w:val="paragraph"/>
        <w:spacing w:before="0" w:beforeAutospacing="0" w:afterAutospacing="0" w:line="480" w:lineRule="auto"/>
        <w:jc w:val="both"/>
        <w:rPr>
          <w:iCs/>
          <w:noProof/>
          <w:sz w:val="24"/>
          <w:lang w:val="es-ES"/>
        </w:rPr>
      </w:pPr>
    </w:p>
    <w:p w14:paraId="1A0695A7" w14:textId="77777777" w:rsidR="007A6AAC" w:rsidRPr="007A6AAC" w:rsidRDefault="007A6AAC" w:rsidP="007A6AAC">
      <w:pPr>
        <w:pStyle w:val="paragraph"/>
        <w:spacing w:before="0" w:beforeAutospacing="0" w:afterAutospacing="0" w:line="480" w:lineRule="auto"/>
        <w:jc w:val="both"/>
        <w:rPr>
          <w:iCs/>
          <w:noProof/>
          <w:sz w:val="24"/>
          <w:lang w:val="es-ES"/>
        </w:rPr>
      </w:pPr>
    </w:p>
    <w:p w14:paraId="54714664" w14:textId="77777777" w:rsidR="00974D27" w:rsidRPr="007A6AAC" w:rsidRDefault="00974D27" w:rsidP="007A6AAC">
      <w:pPr>
        <w:pStyle w:val="paragraph"/>
        <w:spacing w:before="0" w:beforeAutospacing="0" w:afterAutospacing="0" w:line="480" w:lineRule="auto"/>
        <w:jc w:val="both"/>
        <w:rPr>
          <w:iCs/>
          <w:noProof/>
          <w:sz w:val="24"/>
          <w:lang w:val="es-ES"/>
        </w:rPr>
      </w:pPr>
    </w:p>
    <w:p w14:paraId="18A64D16" w14:textId="77777777" w:rsidR="00974D27" w:rsidRPr="007A6AAC" w:rsidRDefault="00974D27" w:rsidP="007A6AAC">
      <w:pPr>
        <w:pStyle w:val="paragraph"/>
        <w:spacing w:before="0" w:after="0" w:line="480" w:lineRule="auto"/>
        <w:ind w:firstLine="0"/>
        <w:jc w:val="both"/>
        <w:textAlignment w:val="baseline"/>
        <w:rPr>
          <w:iCs/>
          <w:noProof/>
          <w:sz w:val="24"/>
          <w:lang w:val="es-ES"/>
        </w:rPr>
      </w:pPr>
      <w:bookmarkStart w:id="6" w:name="_Toc144452521"/>
      <w:r w:rsidRPr="007A6AAC">
        <w:rPr>
          <w:iCs/>
          <w:noProof/>
          <w:sz w:val="24"/>
          <w:lang w:val="es-ES"/>
        </w:rPr>
        <w:lastRenderedPageBreak/>
        <w:t xml:space="preserve">Ilustración </w:t>
      </w:r>
      <w:r w:rsidRPr="007A6AAC">
        <w:rPr>
          <w:iCs/>
          <w:noProof/>
          <w:sz w:val="24"/>
          <w:lang w:val="es-ES"/>
        </w:rPr>
        <w:fldChar w:fldCharType="begin"/>
      </w:r>
      <w:r w:rsidRPr="007A6AAC">
        <w:rPr>
          <w:iCs/>
          <w:noProof/>
          <w:sz w:val="24"/>
          <w:lang w:val="es-ES"/>
        </w:rPr>
        <w:instrText xml:space="preserve"> SEQ Ilustración \* ARABIC </w:instrText>
      </w:r>
      <w:r w:rsidRPr="007A6AAC">
        <w:rPr>
          <w:iCs/>
          <w:noProof/>
          <w:sz w:val="24"/>
          <w:lang w:val="es-ES"/>
        </w:rPr>
        <w:fldChar w:fldCharType="separate"/>
      </w:r>
      <w:r w:rsidRPr="007A6AAC">
        <w:rPr>
          <w:iCs/>
          <w:noProof/>
          <w:sz w:val="24"/>
          <w:lang w:val="es-ES"/>
        </w:rPr>
        <w:t>6</w:t>
      </w:r>
      <w:r w:rsidRPr="007A6AAC">
        <w:rPr>
          <w:iCs/>
          <w:noProof/>
          <w:sz w:val="24"/>
        </w:rPr>
        <w:fldChar w:fldCharType="end"/>
      </w:r>
      <w:r w:rsidRPr="007A6AAC">
        <w:rPr>
          <w:iCs/>
          <w:noProof/>
          <w:sz w:val="24"/>
          <w:lang w:val="es-ES"/>
        </w:rPr>
        <w:t>: Grupo poblacional al cual pertenece el propietario del negocio</w:t>
      </w:r>
      <w:bookmarkEnd w:id="6"/>
    </w:p>
    <w:p w14:paraId="3EE807E7" w14:textId="77777777" w:rsidR="00974D27" w:rsidRPr="007A6AAC" w:rsidRDefault="00974D27" w:rsidP="007A6AAC">
      <w:pPr>
        <w:pStyle w:val="paragraph"/>
        <w:spacing w:before="0" w:beforeAutospacing="0" w:afterAutospacing="0" w:line="480" w:lineRule="auto"/>
        <w:jc w:val="center"/>
        <w:rPr>
          <w:iCs/>
          <w:noProof/>
          <w:sz w:val="24"/>
        </w:rPr>
      </w:pPr>
      <w:r w:rsidRPr="007A6AAC">
        <w:rPr>
          <w:iCs/>
          <w:noProof/>
          <w:sz w:val="24"/>
        </w:rPr>
        <w:drawing>
          <wp:inline distT="0" distB="0" distL="0" distR="0" wp14:anchorId="39DCABAA" wp14:editId="407EFE4D">
            <wp:extent cx="3686175" cy="2914650"/>
            <wp:effectExtent l="0" t="0" r="9525" b="0"/>
            <wp:docPr id="16"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35E92A4" w14:textId="6747DF92" w:rsidR="00E703BD" w:rsidRPr="007A6AAC" w:rsidRDefault="00E703BD" w:rsidP="007A6AAC">
      <w:pPr>
        <w:pStyle w:val="paragraph"/>
        <w:spacing w:before="0" w:beforeAutospacing="0" w:afterAutospacing="0" w:line="480" w:lineRule="auto"/>
        <w:jc w:val="center"/>
        <w:rPr>
          <w:i/>
          <w:iCs/>
          <w:noProof/>
          <w:sz w:val="24"/>
        </w:rPr>
      </w:pPr>
      <w:r w:rsidRPr="007A6AAC">
        <w:rPr>
          <w:i/>
          <w:iCs/>
          <w:noProof/>
          <w:sz w:val="24"/>
        </w:rPr>
        <w:t>Fuente: Autor</w:t>
      </w:r>
    </w:p>
    <w:p w14:paraId="66840A9F" w14:textId="77777777" w:rsidR="00974D27" w:rsidRPr="007A6AAC" w:rsidRDefault="00974D27" w:rsidP="007A6AAC">
      <w:pPr>
        <w:pStyle w:val="paragraph"/>
        <w:spacing w:before="0" w:beforeAutospacing="0" w:afterAutospacing="0" w:line="480" w:lineRule="auto"/>
        <w:jc w:val="both"/>
        <w:rPr>
          <w:iCs/>
          <w:noProof/>
          <w:sz w:val="24"/>
        </w:rPr>
      </w:pPr>
      <w:r w:rsidRPr="007A6AAC">
        <w:rPr>
          <w:iCs/>
          <w:noProof/>
          <w:sz w:val="24"/>
        </w:rPr>
        <w:t>El gráfico circular revela una diversidad notable en el grupo poblacional analizado, clasificándose en tres categorías distintas.</w:t>
      </w:r>
    </w:p>
    <w:p w14:paraId="72987091" w14:textId="77777777" w:rsidR="00974D27" w:rsidRPr="007A6AAC" w:rsidRDefault="00974D27" w:rsidP="007A6AAC">
      <w:pPr>
        <w:pStyle w:val="paragraph"/>
        <w:spacing w:before="0" w:beforeAutospacing="0" w:afterAutospacing="0" w:line="480" w:lineRule="auto"/>
        <w:jc w:val="both"/>
        <w:rPr>
          <w:iCs/>
          <w:noProof/>
          <w:sz w:val="24"/>
        </w:rPr>
      </w:pPr>
      <w:r w:rsidRPr="007A6AAC">
        <w:rPr>
          <w:iCs/>
          <w:noProof/>
          <w:sz w:val="24"/>
        </w:rPr>
        <w:t>La primera categoría, compuesta por mujeres emprendedoras, madres solteras cabeza de hogar y mujeres embarazadas, representa el grupo más numeroso, con un total de 83 participantes, lo que corresponde aproximadamente al 92.22% del conjunto.</w:t>
      </w:r>
    </w:p>
    <w:p w14:paraId="5D235FB6" w14:textId="77777777" w:rsidR="00974D27" w:rsidRPr="007A6AAC" w:rsidRDefault="00974D27" w:rsidP="007A6AAC">
      <w:pPr>
        <w:pStyle w:val="paragraph"/>
        <w:spacing w:before="0" w:beforeAutospacing="0" w:afterAutospacing="0" w:line="480" w:lineRule="auto"/>
        <w:jc w:val="both"/>
        <w:rPr>
          <w:iCs/>
          <w:noProof/>
          <w:sz w:val="24"/>
        </w:rPr>
      </w:pPr>
      <w:r w:rsidRPr="007A6AAC">
        <w:rPr>
          <w:iCs/>
          <w:noProof/>
          <w:sz w:val="24"/>
        </w:rPr>
        <w:t>La segunda categoría, denominada "ninguno", consta de 5 participantes, representando aproximadamente un 5.56% del total. Aunque pequeño en número, este grupo merece atención para comprender sus circunstancias particulares y abordar sus necesidades.</w:t>
      </w:r>
    </w:p>
    <w:p w14:paraId="311BBED5" w14:textId="77777777" w:rsidR="00974D27" w:rsidRPr="007A6AAC" w:rsidRDefault="00974D27" w:rsidP="007A6AAC">
      <w:pPr>
        <w:pStyle w:val="paragraph"/>
        <w:spacing w:before="0" w:beforeAutospacing="0" w:afterAutospacing="0" w:line="480" w:lineRule="auto"/>
        <w:jc w:val="both"/>
        <w:rPr>
          <w:iCs/>
          <w:noProof/>
          <w:sz w:val="24"/>
        </w:rPr>
      </w:pPr>
      <w:r w:rsidRPr="007A6AAC">
        <w:rPr>
          <w:iCs/>
          <w:noProof/>
          <w:sz w:val="24"/>
        </w:rPr>
        <w:t xml:space="preserve">El tercer grupo, compuesto por jóvenes de entre 18 y 28 años de edad, cuenta con 2 participantes, representando aproximadamente un 2.22% del total. A pesar de ser el grupo más reducido en tamaño, su perspectiva es valiosa, ya que estos jóvenes son el futuro de la comunidad </w:t>
      </w:r>
      <w:r w:rsidRPr="007A6AAC">
        <w:rPr>
          <w:iCs/>
          <w:noProof/>
          <w:sz w:val="24"/>
        </w:rPr>
        <w:lastRenderedPageBreak/>
        <w:t>y pueden aportar ideas frescas y energía. Es esencial reconocer la rica diversidad presente en este grupo poblacional. Este conocimiento puede orientar la creación de programas y políticas más efectivos, que empoderen a las mujeres con responsabilidades adicionales, aborden las necesidades del grupo "ninguno" y proporcionen oportunidades para que los jóvenes participen y contribuyan al desarrollo de la comunidad.</w:t>
      </w:r>
    </w:p>
    <w:p w14:paraId="1074B292" w14:textId="77777777" w:rsidR="00974D27" w:rsidRPr="007A6AAC" w:rsidRDefault="00974D27" w:rsidP="007A6AAC">
      <w:pPr>
        <w:pStyle w:val="paragraph"/>
        <w:spacing w:before="0" w:beforeAutospacing="0" w:afterAutospacing="0" w:line="480" w:lineRule="auto"/>
        <w:jc w:val="both"/>
        <w:rPr>
          <w:iCs/>
          <w:noProof/>
          <w:sz w:val="24"/>
        </w:rPr>
      </w:pPr>
      <w:r w:rsidRPr="007A6AAC">
        <w:rPr>
          <w:iCs/>
          <w:noProof/>
          <w:sz w:val="24"/>
        </w:rPr>
        <w:t>El presente estudio poblacional ha sido ejecutado con el objetivo primordial de definir con precisión el grupo demográfico al que se dirigirán nuestras intervenciones. Mediante esta detallada caracterización de la población, estamos capacitados para enfocar nuestras formaciones y programas de desarrollo empresarial de manera precisa, maximizando así el impacto en el crecimiento y fortalecimiento de los negocios en esta comunidad.</w:t>
      </w:r>
    </w:p>
    <w:p w14:paraId="67F33F90" w14:textId="77777777" w:rsidR="00974D27" w:rsidRPr="007A6AAC" w:rsidRDefault="00974D27" w:rsidP="007A6AAC">
      <w:pPr>
        <w:pStyle w:val="paragraph"/>
        <w:spacing w:before="0" w:beforeAutospacing="0" w:afterAutospacing="0" w:line="480" w:lineRule="auto"/>
        <w:jc w:val="both"/>
        <w:rPr>
          <w:iCs/>
          <w:noProof/>
          <w:sz w:val="24"/>
        </w:rPr>
      </w:pPr>
      <w:r w:rsidRPr="007A6AAC">
        <w:rPr>
          <w:iCs/>
          <w:noProof/>
          <w:sz w:val="24"/>
        </w:rPr>
        <w:t>La información obtenida de este estudio nos proporciona una comprensión integral de las necesidades, habilidades y desafíos específicos que enfrentan los emprendedores y empresarios en esta área. Esto nos permite diseñar capacitaciones personalizadas y relevantes, adaptadas a las particularidades de la comunidad objetivo, lo que, a su vez, aumenta la probabilidad de un aprendizaje efectivo y una aplicación práctica en sus actividades comerciales.</w:t>
      </w:r>
    </w:p>
    <w:p w14:paraId="79DA5DD0" w14:textId="77777777" w:rsidR="00974D27" w:rsidRPr="007A6AAC" w:rsidRDefault="00974D27" w:rsidP="007A6AAC">
      <w:pPr>
        <w:pStyle w:val="paragraph"/>
        <w:spacing w:before="0" w:beforeAutospacing="0" w:afterAutospacing="0" w:line="480" w:lineRule="auto"/>
        <w:jc w:val="both"/>
        <w:rPr>
          <w:iCs/>
          <w:noProof/>
          <w:sz w:val="24"/>
        </w:rPr>
      </w:pPr>
      <w:r w:rsidRPr="007A6AAC">
        <w:rPr>
          <w:iCs/>
          <w:noProof/>
          <w:sz w:val="24"/>
        </w:rPr>
        <w:t>A través de estas formaciones, buscamos proporcionar a los participantes un conjunto robusto de herramientas, conocimientos y técnicas que les permitan optimizar sus operaciones, mejorar su competitividad en el mercado y fomentar el crecimiento sostenible de sus empresas. Además, pretendemos fortalecer la confianza de los emprendedores, promover la innovación y desarrollar capacidades empresariales cruciales, con el fin de fomentar la creación de empleo y contribuir al progreso económico de la comunidad en su conjunto.</w:t>
      </w:r>
    </w:p>
    <w:p w14:paraId="43C62FE6" w14:textId="6B4AF4CD" w:rsidR="00974D27" w:rsidRPr="007A6AAC" w:rsidRDefault="00974D27" w:rsidP="007A6AAC">
      <w:pPr>
        <w:pStyle w:val="paragraph"/>
        <w:spacing w:before="0" w:beforeAutospacing="0" w:afterAutospacing="0" w:line="480" w:lineRule="auto"/>
        <w:jc w:val="both"/>
        <w:rPr>
          <w:iCs/>
          <w:noProof/>
          <w:sz w:val="24"/>
        </w:rPr>
      </w:pPr>
      <w:r w:rsidRPr="007A6AAC">
        <w:rPr>
          <w:iCs/>
          <w:noProof/>
          <w:sz w:val="24"/>
        </w:rPr>
        <w:lastRenderedPageBreak/>
        <w:t>La estrecha colaboración con los miembros de esta comunidad, junto con la aplicación constante de las mejores prácticas y una evaluación rigurosa de los resultados, nos permitirá medir con precisión el impacto de nuestras intervenciones.</w:t>
      </w:r>
    </w:p>
    <w:p w14:paraId="6672EADD" w14:textId="082D9CEE" w:rsidR="00EE6EEA" w:rsidRPr="007A6AAC" w:rsidRDefault="00EE6EEA" w:rsidP="007A6AAC">
      <w:pPr>
        <w:spacing w:line="480" w:lineRule="auto"/>
        <w:jc w:val="both"/>
        <w:rPr>
          <w:rFonts w:ascii="Times New Roman" w:hAnsi="Times New Roman" w:cs="Times New Roman"/>
          <w:b/>
          <w:bCs/>
          <w:sz w:val="24"/>
          <w:szCs w:val="24"/>
        </w:rPr>
      </w:pPr>
      <w:r w:rsidRPr="007A6AAC">
        <w:rPr>
          <w:rFonts w:ascii="Times New Roman" w:hAnsi="Times New Roman" w:cs="Times New Roman"/>
          <w:b/>
          <w:bCs/>
          <w:sz w:val="24"/>
          <w:szCs w:val="24"/>
        </w:rPr>
        <w:t>Identificación de emprendimientos</w:t>
      </w:r>
    </w:p>
    <w:p w14:paraId="00DC5356" w14:textId="1EC756CA" w:rsidR="00F7261C" w:rsidRPr="007A6AAC" w:rsidRDefault="00EE6EEA" w:rsidP="007A6AAC">
      <w:pPr>
        <w:spacing w:line="480" w:lineRule="auto"/>
        <w:jc w:val="both"/>
        <w:rPr>
          <w:rFonts w:ascii="Times New Roman" w:hAnsi="Times New Roman" w:cs="Times New Roman"/>
          <w:sz w:val="24"/>
          <w:szCs w:val="24"/>
          <w:lang w:val="es-ES"/>
        </w:rPr>
      </w:pPr>
      <w:r w:rsidRPr="007A6AAC">
        <w:rPr>
          <w:rFonts w:ascii="Times New Roman" w:hAnsi="Times New Roman" w:cs="Times New Roman"/>
          <w:sz w:val="24"/>
          <w:szCs w:val="24"/>
          <w:lang w:val="es-ES"/>
        </w:rPr>
        <w:t xml:space="preserve">Los </w:t>
      </w:r>
      <w:r w:rsidRPr="007A6AAC">
        <w:rPr>
          <w:rFonts w:ascii="Times New Roman" w:hAnsi="Times New Roman" w:cs="Times New Roman"/>
          <w:i/>
          <w:iCs/>
          <w:sz w:val="24"/>
          <w:szCs w:val="24"/>
          <w:lang w:val="es-ES"/>
        </w:rPr>
        <w:t>Nuevos Medios de Vida</w:t>
      </w:r>
      <w:r w:rsidRPr="007A6AAC">
        <w:rPr>
          <w:rFonts w:ascii="Times New Roman" w:hAnsi="Times New Roman" w:cs="Times New Roman"/>
          <w:sz w:val="24"/>
          <w:szCs w:val="24"/>
          <w:lang w:val="es-ES"/>
        </w:rPr>
        <w:t xml:space="preserve"> se proponen con el fin de apoyar la implementación de planes de negocio sostenibles pa</w:t>
      </w:r>
      <w:r w:rsidR="00974D27" w:rsidRPr="007A6AAC">
        <w:rPr>
          <w:rFonts w:ascii="Times New Roman" w:hAnsi="Times New Roman" w:cs="Times New Roman"/>
          <w:sz w:val="24"/>
          <w:szCs w:val="24"/>
          <w:lang w:val="es-ES"/>
        </w:rPr>
        <w:t>ra nuevos emprendimientos en el barrio</w:t>
      </w:r>
      <w:r w:rsidRPr="007A6AAC">
        <w:rPr>
          <w:rFonts w:ascii="Times New Roman" w:hAnsi="Times New Roman" w:cs="Times New Roman"/>
          <w:sz w:val="24"/>
          <w:szCs w:val="24"/>
          <w:lang w:val="es-ES"/>
        </w:rPr>
        <w:t xml:space="preserve"> objetivo. La generación de empleo, el crecimiento y potencial económico, y la organización de esos mismos son la base fundamental para el desarrollo de las ideas de negocio innovadoras que impacten en las dinámicas socioeconómicas de los asentamientos </w:t>
      </w:r>
      <w:r w:rsidR="0098097E" w:rsidRPr="007A6AAC">
        <w:rPr>
          <w:rFonts w:ascii="Times New Roman" w:hAnsi="Times New Roman" w:cs="Times New Roman"/>
          <w:sz w:val="24"/>
          <w:szCs w:val="24"/>
          <w:lang w:val="es-ES"/>
        </w:rPr>
        <w:t xml:space="preserve">de </w:t>
      </w:r>
      <w:r w:rsidRPr="007A6AAC">
        <w:rPr>
          <w:rFonts w:ascii="Times New Roman" w:hAnsi="Times New Roman" w:cs="Times New Roman"/>
          <w:sz w:val="24"/>
          <w:szCs w:val="24"/>
          <w:lang w:val="es-ES"/>
        </w:rPr>
        <w:t>José</w:t>
      </w:r>
      <w:r w:rsidR="0098097E" w:rsidRPr="007A6AAC">
        <w:rPr>
          <w:rFonts w:ascii="Times New Roman" w:hAnsi="Times New Roman" w:cs="Times New Roman"/>
          <w:sz w:val="24"/>
          <w:szCs w:val="24"/>
          <w:lang w:val="es-ES"/>
        </w:rPr>
        <w:t xml:space="preserve"> Antonio Galán.</w:t>
      </w:r>
    </w:p>
    <w:p w14:paraId="382F4E6D" w14:textId="7796DC55" w:rsidR="005D64C3" w:rsidRPr="00395449" w:rsidRDefault="005D64C3" w:rsidP="00CA4197">
      <w:pPr>
        <w:spacing w:line="360" w:lineRule="auto"/>
        <w:jc w:val="both"/>
        <w:rPr>
          <w:rFonts w:ascii="Avenir Next LT Pro" w:hAnsi="Avenir Next LT Pro"/>
          <w:sz w:val="24"/>
          <w:szCs w:val="24"/>
          <w:lang w:val="es-ES"/>
        </w:rPr>
      </w:pPr>
    </w:p>
    <w:sectPr w:rsidR="005D64C3" w:rsidRPr="00395449" w:rsidSect="007A6AAC">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venir Next LT Pro">
    <w:altName w:val="Arial"/>
    <w:charset w:val="00"/>
    <w:family w:val="swiss"/>
    <w:pitch w:val="variable"/>
    <w:sig w:usb0="00000001" w:usb1="5000204A"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263D"/>
    <w:rsid w:val="0003115D"/>
    <w:rsid w:val="00086559"/>
    <w:rsid w:val="000A54B9"/>
    <w:rsid w:val="000B55FC"/>
    <w:rsid w:val="000D119E"/>
    <w:rsid w:val="000D5E33"/>
    <w:rsid w:val="000D78F0"/>
    <w:rsid w:val="000E341C"/>
    <w:rsid w:val="000E43DE"/>
    <w:rsid w:val="00102219"/>
    <w:rsid w:val="00130E5F"/>
    <w:rsid w:val="0015585E"/>
    <w:rsid w:val="00161E12"/>
    <w:rsid w:val="00166C2B"/>
    <w:rsid w:val="0018126A"/>
    <w:rsid w:val="001910A6"/>
    <w:rsid w:val="00196727"/>
    <w:rsid w:val="001A0959"/>
    <w:rsid w:val="001A76E8"/>
    <w:rsid w:val="001C6275"/>
    <w:rsid w:val="001D1743"/>
    <w:rsid w:val="001E23E9"/>
    <w:rsid w:val="001E7B42"/>
    <w:rsid w:val="001F2658"/>
    <w:rsid w:val="002069EB"/>
    <w:rsid w:val="00214B67"/>
    <w:rsid w:val="002176F8"/>
    <w:rsid w:val="00227515"/>
    <w:rsid w:val="00246A43"/>
    <w:rsid w:val="00265A07"/>
    <w:rsid w:val="0027310B"/>
    <w:rsid w:val="002E3909"/>
    <w:rsid w:val="002F367C"/>
    <w:rsid w:val="00306EEA"/>
    <w:rsid w:val="0031263D"/>
    <w:rsid w:val="003169A2"/>
    <w:rsid w:val="0037432D"/>
    <w:rsid w:val="003821CE"/>
    <w:rsid w:val="00395449"/>
    <w:rsid w:val="0039675B"/>
    <w:rsid w:val="003A7789"/>
    <w:rsid w:val="003C175E"/>
    <w:rsid w:val="003D59E4"/>
    <w:rsid w:val="003E58F2"/>
    <w:rsid w:val="00425E32"/>
    <w:rsid w:val="00426DFE"/>
    <w:rsid w:val="004334B0"/>
    <w:rsid w:val="004447FA"/>
    <w:rsid w:val="00451683"/>
    <w:rsid w:val="0048343F"/>
    <w:rsid w:val="00487B4C"/>
    <w:rsid w:val="00495CE4"/>
    <w:rsid w:val="004B44C9"/>
    <w:rsid w:val="004D2AEE"/>
    <w:rsid w:val="004D325B"/>
    <w:rsid w:val="00515709"/>
    <w:rsid w:val="00521C6F"/>
    <w:rsid w:val="0053478F"/>
    <w:rsid w:val="00553AD6"/>
    <w:rsid w:val="005633FA"/>
    <w:rsid w:val="005668D8"/>
    <w:rsid w:val="00571522"/>
    <w:rsid w:val="00572165"/>
    <w:rsid w:val="00594912"/>
    <w:rsid w:val="005C1631"/>
    <w:rsid w:val="005C7A2E"/>
    <w:rsid w:val="005D24B4"/>
    <w:rsid w:val="005D64C3"/>
    <w:rsid w:val="006009D3"/>
    <w:rsid w:val="00624F13"/>
    <w:rsid w:val="00635D2D"/>
    <w:rsid w:val="006469FA"/>
    <w:rsid w:val="0065508C"/>
    <w:rsid w:val="00686FCF"/>
    <w:rsid w:val="00695E3E"/>
    <w:rsid w:val="006D3B2B"/>
    <w:rsid w:val="006D5D4B"/>
    <w:rsid w:val="006E085C"/>
    <w:rsid w:val="006E3EA5"/>
    <w:rsid w:val="006E6E5E"/>
    <w:rsid w:val="00712451"/>
    <w:rsid w:val="00724614"/>
    <w:rsid w:val="00755767"/>
    <w:rsid w:val="007615C7"/>
    <w:rsid w:val="0077783D"/>
    <w:rsid w:val="0078012F"/>
    <w:rsid w:val="00780C08"/>
    <w:rsid w:val="00792266"/>
    <w:rsid w:val="007952EF"/>
    <w:rsid w:val="007A3C23"/>
    <w:rsid w:val="007A6AAC"/>
    <w:rsid w:val="007B2624"/>
    <w:rsid w:val="007B6BF8"/>
    <w:rsid w:val="007C0AF1"/>
    <w:rsid w:val="007C68EF"/>
    <w:rsid w:val="007D10D9"/>
    <w:rsid w:val="007E15FA"/>
    <w:rsid w:val="007E693E"/>
    <w:rsid w:val="00812F5E"/>
    <w:rsid w:val="00822B1F"/>
    <w:rsid w:val="00823FB7"/>
    <w:rsid w:val="0083361D"/>
    <w:rsid w:val="00836C69"/>
    <w:rsid w:val="008411BA"/>
    <w:rsid w:val="008645AB"/>
    <w:rsid w:val="00885439"/>
    <w:rsid w:val="00891B23"/>
    <w:rsid w:val="008961EE"/>
    <w:rsid w:val="008C13B5"/>
    <w:rsid w:val="008E5232"/>
    <w:rsid w:val="008E6059"/>
    <w:rsid w:val="00910BC9"/>
    <w:rsid w:val="00961886"/>
    <w:rsid w:val="009654A7"/>
    <w:rsid w:val="00973B00"/>
    <w:rsid w:val="00974D27"/>
    <w:rsid w:val="009757B4"/>
    <w:rsid w:val="0098097E"/>
    <w:rsid w:val="009865A8"/>
    <w:rsid w:val="009C7673"/>
    <w:rsid w:val="00A94ABA"/>
    <w:rsid w:val="00AA31AE"/>
    <w:rsid w:val="00AC58A2"/>
    <w:rsid w:val="00B052D6"/>
    <w:rsid w:val="00B10CA1"/>
    <w:rsid w:val="00B1368C"/>
    <w:rsid w:val="00B359E3"/>
    <w:rsid w:val="00B47252"/>
    <w:rsid w:val="00B8312B"/>
    <w:rsid w:val="00B922E2"/>
    <w:rsid w:val="00BB19A8"/>
    <w:rsid w:val="00BC27C3"/>
    <w:rsid w:val="00BD6BBB"/>
    <w:rsid w:val="00BF0AF8"/>
    <w:rsid w:val="00BF42EA"/>
    <w:rsid w:val="00C032C3"/>
    <w:rsid w:val="00C0628E"/>
    <w:rsid w:val="00C1197C"/>
    <w:rsid w:val="00C56E27"/>
    <w:rsid w:val="00C60016"/>
    <w:rsid w:val="00C6749F"/>
    <w:rsid w:val="00C74292"/>
    <w:rsid w:val="00C8482C"/>
    <w:rsid w:val="00C874D4"/>
    <w:rsid w:val="00C96880"/>
    <w:rsid w:val="00CA4197"/>
    <w:rsid w:val="00D112D5"/>
    <w:rsid w:val="00D12B69"/>
    <w:rsid w:val="00D13C1B"/>
    <w:rsid w:val="00D354C7"/>
    <w:rsid w:val="00D37491"/>
    <w:rsid w:val="00D53E12"/>
    <w:rsid w:val="00D60584"/>
    <w:rsid w:val="00D6424F"/>
    <w:rsid w:val="00D64B42"/>
    <w:rsid w:val="00DA7171"/>
    <w:rsid w:val="00DB2620"/>
    <w:rsid w:val="00DB5AE9"/>
    <w:rsid w:val="00DC734E"/>
    <w:rsid w:val="00DF327A"/>
    <w:rsid w:val="00E06538"/>
    <w:rsid w:val="00E06E5B"/>
    <w:rsid w:val="00E11970"/>
    <w:rsid w:val="00E138FB"/>
    <w:rsid w:val="00E42A53"/>
    <w:rsid w:val="00E4590D"/>
    <w:rsid w:val="00E50FE3"/>
    <w:rsid w:val="00E51732"/>
    <w:rsid w:val="00E56F32"/>
    <w:rsid w:val="00E703BD"/>
    <w:rsid w:val="00EA6E3F"/>
    <w:rsid w:val="00EB0EB5"/>
    <w:rsid w:val="00EB1BA6"/>
    <w:rsid w:val="00EC3235"/>
    <w:rsid w:val="00EE03C3"/>
    <w:rsid w:val="00EE6EEA"/>
    <w:rsid w:val="00EF36D5"/>
    <w:rsid w:val="00F0206A"/>
    <w:rsid w:val="00F33F85"/>
    <w:rsid w:val="00F51B91"/>
    <w:rsid w:val="00F5331E"/>
    <w:rsid w:val="00F617BB"/>
    <w:rsid w:val="00F7261C"/>
    <w:rsid w:val="00F74435"/>
    <w:rsid w:val="00F84220"/>
    <w:rsid w:val="00FB3630"/>
    <w:rsid w:val="00FD3F79"/>
    <w:rsid w:val="00FE15BD"/>
    <w:rsid w:val="00FE5E06"/>
    <w:rsid w:val="413DDE10"/>
    <w:rsid w:val="75CFCE0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C2B80D"/>
  <w15:chartTrackingRefBased/>
  <w15:docId w15:val="{03CD2D62-7F38-4EE0-A509-617BEEC3F9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263D"/>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aragraph">
    <w:name w:val="paragraph"/>
    <w:basedOn w:val="Normal"/>
    <w:rsid w:val="0031263D"/>
    <w:pPr>
      <w:spacing w:before="100" w:beforeAutospacing="1" w:after="100" w:afterAutospacing="1" w:line="240" w:lineRule="auto"/>
      <w:ind w:firstLine="340"/>
    </w:pPr>
    <w:rPr>
      <w:rFonts w:ascii="Times New Roman" w:eastAsia="Times New Roman" w:hAnsi="Times New Roman" w:cs="Times New Roman"/>
      <w:szCs w:val="24"/>
      <w:lang w:eastAsia="es-CO"/>
    </w:rPr>
  </w:style>
  <w:style w:type="character" w:customStyle="1" w:styleId="normaltextrun">
    <w:name w:val="normaltextrun"/>
    <w:basedOn w:val="Fuentedeprrafopredeter"/>
    <w:rsid w:val="0031263D"/>
  </w:style>
  <w:style w:type="character" w:customStyle="1" w:styleId="eop">
    <w:name w:val="eop"/>
    <w:basedOn w:val="Fuentedeprrafopredeter"/>
    <w:rsid w:val="008E6059"/>
  </w:style>
  <w:style w:type="paragraph" w:styleId="Descripcin">
    <w:name w:val="caption"/>
    <w:basedOn w:val="Normal"/>
    <w:next w:val="Normal"/>
    <w:uiPriority w:val="35"/>
    <w:semiHidden/>
    <w:unhideWhenUsed/>
    <w:qFormat/>
    <w:rsid w:val="00974D27"/>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chart" Target="charts/chart5.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4.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chart" Target="charts/chart3.xml"/><Relationship Id="rId4" Type="http://schemas.openxmlformats.org/officeDocument/2006/relationships/styles" Target="styles.xml"/><Relationship Id="rId9" Type="http://schemas.openxmlformats.org/officeDocument/2006/relationships/chart" Target="charts/chart2.xml"/><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Hoja_de_c_lculo_de_Microsoft_Excel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Hoja_de_c_lculo_de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Hoja_de_c_lculo_de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Hoja_de_c_lculo_de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Hoja_de_c_lculo_de_Microsoft_Excel6.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alpha val="85000"/>
              </a:schemeClr>
            </a:solidFill>
            <a:ln w="9525" cap="flat" cmpd="sng" algn="ctr">
              <a:solidFill>
                <a:schemeClr val="lt1">
                  <a:alpha val="50000"/>
                </a:schemeClr>
              </a:solidFill>
              <a:round/>
            </a:ln>
            <a:effectLst/>
          </c:spPr>
          <c:invertIfNegative val="0"/>
          <c:dLbls>
            <c:dLbl>
              <c:idx val="11"/>
              <c:tx>
                <c:rich>
                  <a:bodyPr/>
                  <a:lstStyle/>
                  <a:p>
                    <a:r>
                      <a:rPr lang="en-US"/>
                      <a:t>2</a:t>
                    </a:r>
                  </a:p>
                </c:rich>
              </c:tx>
              <c:dLblPos val="inEnd"/>
              <c:showLegendKey val="0"/>
              <c:showVal val="1"/>
              <c:showCatName val="0"/>
              <c:showSerName val="0"/>
              <c:showPercent val="0"/>
              <c:showBubbleSize val="0"/>
              <c:extLst>
                <c:ext xmlns:c15="http://schemas.microsoft.com/office/drawing/2012/chart" uri="{CE6537A1-D6FC-4f65-9D91-7224C49458BB}"/>
              </c:extLst>
            </c:dLbl>
            <c:dLbl>
              <c:idx val="12"/>
              <c:tx>
                <c:rich>
                  <a:bodyPr/>
                  <a:lstStyle/>
                  <a:p>
                    <a:r>
                      <a:rPr lang="en-US"/>
                      <a:t>2</a:t>
                    </a:r>
                  </a:p>
                </c:rich>
              </c:tx>
              <c:dLblPos val="inEnd"/>
              <c:showLegendKey val="0"/>
              <c:showVal val="1"/>
              <c:showCatName val="0"/>
              <c:showSerName val="0"/>
              <c:showPercent val="0"/>
              <c:showBubbleSize val="0"/>
              <c:extLst>
                <c:ext xmlns:c15="http://schemas.microsoft.com/office/drawing/2012/chart" uri="{CE6537A1-D6FC-4f65-9D91-7224C49458BB}"/>
              </c:extLst>
            </c:dLbl>
            <c:dLbl>
              <c:idx val="13"/>
              <c:tx>
                <c:rich>
                  <a:bodyPr/>
                  <a:lstStyle/>
                  <a:p>
                    <a:r>
                      <a:rPr lang="en-US"/>
                      <a:t>2</a:t>
                    </a:r>
                  </a:p>
                </c:rich>
              </c:tx>
              <c:dLblPos val="inEnd"/>
              <c:showLegendKey val="0"/>
              <c:showVal val="1"/>
              <c:showCatName val="0"/>
              <c:showSerName val="0"/>
              <c:showPercent val="0"/>
              <c:showBubbleSize val="0"/>
              <c:extLst>
                <c:ext xmlns:c15="http://schemas.microsoft.com/office/drawing/2012/chart" uri="{CE6537A1-D6FC-4f65-9D91-7224C49458BB}"/>
              </c:extLst>
            </c:dLbl>
            <c:dLbl>
              <c:idx val="14"/>
              <c:tx>
                <c:rich>
                  <a:bodyPr/>
                  <a:lstStyle/>
                  <a:p>
                    <a:r>
                      <a:rPr lang="en-US"/>
                      <a:t>2</a:t>
                    </a:r>
                  </a:p>
                </c:rich>
              </c:tx>
              <c:dLblPos val="inEnd"/>
              <c:showLegendKey val="0"/>
              <c:showVal val="1"/>
              <c:showCatName val="0"/>
              <c:showSerName val="0"/>
              <c:showPercent val="0"/>
              <c:showBubbleSize val="0"/>
              <c:extLst>
                <c:ext xmlns:c15="http://schemas.microsoft.com/office/drawing/2012/chart" uri="{CE6537A1-D6FC-4f65-9D91-7224C49458BB}"/>
              </c:extLst>
            </c:dLbl>
            <c:dLbl>
              <c:idx val="15"/>
              <c:tx>
                <c:rich>
                  <a:bodyPr/>
                  <a:lstStyle/>
                  <a:p>
                    <a:r>
                      <a:rPr lang="en-US"/>
                      <a:t>2</a:t>
                    </a:r>
                  </a:p>
                </c:rich>
              </c:tx>
              <c:dLblPos val="in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s-CO"/>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'JAG-CDE fortalecimiento'!$K$2:$K$34</c:f>
              <c:strCache>
                <c:ptCount val="33"/>
                <c:pt idx="0">
                  <c:v>Zapatería</c:v>
                </c:pt>
                <c:pt idx="1">
                  <c:v>Venta y reparación de celulares</c:v>
                </c:pt>
                <c:pt idx="2">
                  <c:v>Venta de pulpa</c:v>
                </c:pt>
                <c:pt idx="3">
                  <c:v>Venta de productos alimenticios y bebidas</c:v>
                </c:pt>
                <c:pt idx="4">
                  <c:v>Venta de mariscos</c:v>
                </c:pt>
                <c:pt idx="5">
                  <c:v>Venta de ensaladas, helados y batidos</c:v>
                </c:pt>
                <c:pt idx="6">
                  <c:v>Venta de agua</c:v>
                </c:pt>
                <c:pt idx="7">
                  <c:v>Venta de accesorios para celular</c:v>
                </c:pt>
                <c:pt idx="8">
                  <c:v>Panadería</c:v>
                </c:pt>
                <c:pt idx="9">
                  <c:v>Modistería y confección</c:v>
                </c:pt>
                <c:pt idx="10">
                  <c:v>Minutos y recargas telefónicas</c:v>
                </c:pt>
                <c:pt idx="11">
                  <c:v>Manipulación de alimentos</c:v>
                </c:pt>
                <c:pt idx="12">
                  <c:v>Gallera</c:v>
                </c:pt>
                <c:pt idx="13">
                  <c:v>Frutería</c:v>
                </c:pt>
                <c:pt idx="14">
                  <c:v>Ayudante de construcción</c:v>
                </c:pt>
                <c:pt idx="15">
                  <c:v>Alquiler de lavadoras</c:v>
                </c:pt>
                <c:pt idx="16">
                  <c:v>Venta de tintos, pinchos, etc</c:v>
                </c:pt>
                <c:pt idx="17">
                  <c:v>Venta de bebidas</c:v>
                </c:pt>
                <c:pt idx="18">
                  <c:v>Servicios domésticos y domiciliario</c:v>
                </c:pt>
                <c:pt idx="19">
                  <c:v>Servicio al cliente</c:v>
                </c:pt>
                <c:pt idx="20">
                  <c:v>Reciclaje</c:v>
                </c:pt>
                <c:pt idx="21">
                  <c:v>Ferretería</c:v>
                </c:pt>
                <c:pt idx="22">
                  <c:v>Extracción de arena del río</c:v>
                </c:pt>
                <c:pt idx="23">
                  <c:v>Droguería</c:v>
                </c:pt>
                <c:pt idx="24">
                  <c:v>Cargue y descargue de alimentos</c:v>
                </c:pt>
                <c:pt idx="25">
                  <c:v>Venta de ropa</c:v>
                </c:pt>
                <c:pt idx="26">
                  <c:v>Venta de productos agropecuarios</c:v>
                </c:pt>
                <c:pt idx="27">
                  <c:v>Restaurantes y cafeterías</c:v>
                </c:pt>
                <c:pt idx="28">
                  <c:v>Papelería y miscelánea</c:v>
                </c:pt>
                <c:pt idx="29">
                  <c:v>Comidas rápidas</c:v>
                </c:pt>
                <c:pt idx="30">
                  <c:v>Chazas</c:v>
                </c:pt>
                <c:pt idx="31">
                  <c:v>Servicios de belleza</c:v>
                </c:pt>
                <c:pt idx="32">
                  <c:v>Tiendas de abarrotes</c:v>
                </c:pt>
              </c:strCache>
            </c:strRef>
          </c:cat>
          <c:val>
            <c:numRef>
              <c:f>'JAG-CDE fortalecimiento'!$L$2:$L$34</c:f>
              <c:numCache>
                <c:formatCode>General</c:formatCode>
                <c:ptCount val="33"/>
                <c:pt idx="0">
                  <c:v>1</c:v>
                </c:pt>
                <c:pt idx="1">
                  <c:v>1</c:v>
                </c:pt>
                <c:pt idx="2">
                  <c:v>1</c:v>
                </c:pt>
                <c:pt idx="3">
                  <c:v>1</c:v>
                </c:pt>
                <c:pt idx="4">
                  <c:v>1</c:v>
                </c:pt>
                <c:pt idx="5">
                  <c:v>2</c:v>
                </c:pt>
                <c:pt idx="6">
                  <c:v>2</c:v>
                </c:pt>
                <c:pt idx="7">
                  <c:v>2</c:v>
                </c:pt>
                <c:pt idx="8">
                  <c:v>2</c:v>
                </c:pt>
                <c:pt idx="9">
                  <c:v>2</c:v>
                </c:pt>
                <c:pt idx="10">
                  <c:v>2</c:v>
                </c:pt>
                <c:pt idx="11">
                  <c:v>2</c:v>
                </c:pt>
                <c:pt idx="12">
                  <c:v>2</c:v>
                </c:pt>
                <c:pt idx="13">
                  <c:v>2</c:v>
                </c:pt>
                <c:pt idx="14">
                  <c:v>2</c:v>
                </c:pt>
                <c:pt idx="15">
                  <c:v>2</c:v>
                </c:pt>
                <c:pt idx="16">
                  <c:v>2</c:v>
                </c:pt>
                <c:pt idx="17">
                  <c:v>2</c:v>
                </c:pt>
                <c:pt idx="18">
                  <c:v>2</c:v>
                </c:pt>
                <c:pt idx="19">
                  <c:v>2</c:v>
                </c:pt>
                <c:pt idx="20">
                  <c:v>2</c:v>
                </c:pt>
                <c:pt idx="21">
                  <c:v>2</c:v>
                </c:pt>
                <c:pt idx="22">
                  <c:v>2</c:v>
                </c:pt>
                <c:pt idx="23">
                  <c:v>2</c:v>
                </c:pt>
                <c:pt idx="24">
                  <c:v>2</c:v>
                </c:pt>
                <c:pt idx="25">
                  <c:v>3</c:v>
                </c:pt>
                <c:pt idx="26">
                  <c:v>3</c:v>
                </c:pt>
                <c:pt idx="27">
                  <c:v>4</c:v>
                </c:pt>
                <c:pt idx="28">
                  <c:v>4</c:v>
                </c:pt>
                <c:pt idx="29">
                  <c:v>5</c:v>
                </c:pt>
                <c:pt idx="30">
                  <c:v>5</c:v>
                </c:pt>
                <c:pt idx="31">
                  <c:v>7</c:v>
                </c:pt>
                <c:pt idx="32">
                  <c:v>14</c:v>
                </c:pt>
              </c:numCache>
            </c:numRef>
          </c:val>
          <c:extLst xmlns:c16r2="http://schemas.microsoft.com/office/drawing/2015/06/chart">
            <c:ext xmlns:c16="http://schemas.microsoft.com/office/drawing/2014/chart" uri="{C3380CC4-5D6E-409C-BE32-E72D297353CC}">
              <c16:uniqueId val="{00000000-8EB9-4267-ABC5-EB54B99C170B}"/>
            </c:ext>
          </c:extLst>
        </c:ser>
        <c:dLbls>
          <c:dLblPos val="inEnd"/>
          <c:showLegendKey val="0"/>
          <c:showVal val="1"/>
          <c:showCatName val="0"/>
          <c:showSerName val="0"/>
          <c:showPercent val="0"/>
          <c:showBubbleSize val="0"/>
        </c:dLbls>
        <c:gapWidth val="65"/>
        <c:axId val="2052269360"/>
        <c:axId val="2052269904"/>
      </c:barChart>
      <c:catAx>
        <c:axId val="2052269360"/>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CO"/>
          </a:p>
        </c:txPr>
        <c:crossAx val="2052269904"/>
        <c:crosses val="autoZero"/>
        <c:auto val="1"/>
        <c:lblAlgn val="ctr"/>
        <c:lblOffset val="100"/>
        <c:noMultiLvlLbl val="0"/>
      </c:catAx>
      <c:valAx>
        <c:axId val="2052269904"/>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crossAx val="205226936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Nacionalidad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C246-47A4-952B-2CD770C5E5A3}"/>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C246-47A4-952B-2CD770C5E5A3}"/>
              </c:ext>
            </c:extLst>
          </c:dPt>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Avenir Next LT Pro" panose="020B0504020202020204" pitchFamily="34" charset="0"/>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'JAG-CDE fortalecimiento'!$S$2:$S$3</c:f>
              <c:strCache>
                <c:ptCount val="2"/>
                <c:pt idx="0">
                  <c:v>Colombiano/a</c:v>
                </c:pt>
                <c:pt idx="1">
                  <c:v>Venezolano/a</c:v>
                </c:pt>
              </c:strCache>
            </c:strRef>
          </c:cat>
          <c:val>
            <c:numRef>
              <c:f>'JAG-CDE fortalecimiento'!$T$2:$T$3</c:f>
              <c:numCache>
                <c:formatCode>General</c:formatCode>
                <c:ptCount val="2"/>
                <c:pt idx="0">
                  <c:v>80</c:v>
                </c:pt>
                <c:pt idx="1">
                  <c:v>10</c:v>
                </c:pt>
              </c:numCache>
            </c:numRef>
          </c:val>
          <c:extLst xmlns:c16r2="http://schemas.microsoft.com/office/drawing/2015/06/chart">
            <c:ext xmlns:c16="http://schemas.microsoft.com/office/drawing/2014/chart" uri="{C3380CC4-5D6E-409C-BE32-E72D297353CC}">
              <c16:uniqueId val="{00000004-C246-47A4-952B-2CD770C5E5A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venir Next LT Pro" panose="020B0504020202020204" pitchFamily="34" charset="0"/>
              <a:ea typeface="+mn-ea"/>
              <a:cs typeface="+mn-cs"/>
            </a:defRPr>
          </a:pPr>
          <a:endParaRPr lang="es-CO"/>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lgn="just">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pieChart>
        <c:varyColors val="1"/>
        <c:ser>
          <c:idx val="0"/>
          <c:order val="0"/>
          <c:tx>
            <c:strRef>
              <c:f>Hoja1!$B$1</c:f>
              <c:strCache>
                <c:ptCount val="1"/>
                <c:pt idx="0">
                  <c:v>Genero</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Hoja1!$A$2:$A$5</c:f>
              <c:strCache>
                <c:ptCount val="2"/>
                <c:pt idx="0">
                  <c:v>Hombres</c:v>
                </c:pt>
                <c:pt idx="1">
                  <c:v>Mujeres</c:v>
                </c:pt>
              </c:strCache>
            </c:strRef>
          </c:cat>
          <c:val>
            <c:numRef>
              <c:f>Hoja1!$B$2:$B$5</c:f>
              <c:numCache>
                <c:formatCode>General</c:formatCode>
                <c:ptCount val="4"/>
                <c:pt idx="0">
                  <c:v>7</c:v>
                </c:pt>
                <c:pt idx="1">
                  <c:v>83</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pieChart>
        <c:varyColors val="1"/>
        <c:ser>
          <c:idx val="0"/>
          <c:order val="0"/>
          <c:tx>
            <c:strRef>
              <c:f>Hoja1!$B$1</c:f>
              <c:strCache>
                <c:ptCount val="1"/>
                <c:pt idx="0">
                  <c:v>Empleados generados por el negocio</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Hoja1!$A$2:$A$5</c:f>
              <c:strCache>
                <c:ptCount val="2"/>
                <c:pt idx="0">
                  <c:v>Negocios con empleados</c:v>
                </c:pt>
                <c:pt idx="1">
                  <c:v>Negocios sin empleados</c:v>
                </c:pt>
              </c:strCache>
            </c:strRef>
          </c:cat>
          <c:val>
            <c:numRef>
              <c:f>Hoja1!$B$2:$B$5</c:f>
              <c:numCache>
                <c:formatCode>General</c:formatCode>
                <c:ptCount val="4"/>
                <c:pt idx="0">
                  <c:v>8</c:v>
                </c:pt>
                <c:pt idx="1">
                  <c:v>82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2"/>
        <c:delete val="1"/>
      </c:legendEntry>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pieChart>
        <c:varyColors val="1"/>
        <c:ser>
          <c:idx val="0"/>
          <c:order val="0"/>
          <c:tx>
            <c:strRef>
              <c:f>Hoja1!$B$1</c:f>
              <c:strCache>
                <c:ptCount val="1"/>
                <c:pt idx="0">
                  <c:v>Tiempo viviendo en el barrio</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Hoja1!$A$2:$A$3</c:f>
              <c:strCache>
                <c:ptCount val="2"/>
                <c:pt idx="0">
                  <c:v>Viviendo 6 años o más</c:v>
                </c:pt>
                <c:pt idx="1">
                  <c:v>Viviendo menos de 6 años</c:v>
                </c:pt>
              </c:strCache>
            </c:strRef>
          </c:cat>
          <c:val>
            <c:numRef>
              <c:f>Hoja1!$B$2:$B$3</c:f>
              <c:numCache>
                <c:formatCode>General</c:formatCode>
                <c:ptCount val="2"/>
                <c:pt idx="0">
                  <c:v>65</c:v>
                </c:pt>
                <c:pt idx="1">
                  <c:v>25</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pieChart>
        <c:varyColors val="1"/>
        <c:ser>
          <c:idx val="0"/>
          <c:order val="0"/>
          <c:tx>
            <c:strRef>
              <c:f>Hoja1!$B$1</c:f>
              <c:strCache>
                <c:ptCount val="1"/>
                <c:pt idx="0">
                  <c:v>Grupo Poblacional </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Hoja1!$A$2:$A$4</c:f>
              <c:strCache>
                <c:ptCount val="3"/>
                <c:pt idx="0">
                  <c:v>Mujeres emprendedoras/Madres solteras cabeza de hogar/Mujeres embaradas</c:v>
                </c:pt>
                <c:pt idx="1">
                  <c:v>Ninguno</c:v>
                </c:pt>
                <c:pt idx="2">
                  <c:v>Jovenes entre 18 y 28 años</c:v>
                </c:pt>
              </c:strCache>
            </c:strRef>
          </c:cat>
          <c:val>
            <c:numRef>
              <c:f>Hoja1!$B$2:$B$4</c:f>
              <c:numCache>
                <c:formatCode>General</c:formatCode>
                <c:ptCount val="3"/>
                <c:pt idx="0">
                  <c:v>83</c:v>
                </c:pt>
                <c:pt idx="1">
                  <c:v>5</c:v>
                </c:pt>
                <c:pt idx="2">
                  <c:v>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7382916-b132-42c8-903b-bce70f70774e" xsi:nil="true"/>
    <lcf76f155ced4ddcb4097134ff3c332f xmlns="0590163c-c8a8-47fa-b55c-c84300f414a2">
      <Terms xmlns="http://schemas.microsoft.com/office/infopath/2007/PartnerControls"/>
    </lcf76f155ced4ddcb4097134ff3c332f>
    <Item xmlns="0590163c-c8a8-47fa-b55c-c84300f414a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D67A52E089B844B9BFD771AF4D775C" ma:contentTypeVersion="18" ma:contentTypeDescription="Create a new document." ma:contentTypeScope="" ma:versionID="9fe7a73718516d6f8806370c7bc211a6">
  <xsd:schema xmlns:xsd="http://www.w3.org/2001/XMLSchema" xmlns:xs="http://www.w3.org/2001/XMLSchema" xmlns:p="http://schemas.microsoft.com/office/2006/metadata/properties" xmlns:ns2="0590163c-c8a8-47fa-b55c-c84300f414a2" xmlns:ns3="97382916-b132-42c8-903b-bce70f70774e" targetNamespace="http://schemas.microsoft.com/office/2006/metadata/properties" ma:root="true" ma:fieldsID="cd874c35c518d65cc8af0999a7e77c39" ns2:_="" ns3:_="">
    <xsd:import namespace="0590163c-c8a8-47fa-b55c-c84300f414a2"/>
    <xsd:import namespace="97382916-b132-42c8-903b-bce70f70774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Item" minOccurs="0"/>
                <xsd:element ref="ns2:MediaLengthInSeconds" minOccurs="0"/>
                <xsd:element ref="ns2:MediaServiceLocation"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90163c-c8a8-47fa-b55c-c84300f414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Item" ma:index="19" nillable="true" ma:displayName="Nº" ma:decimals="0" ma:description="Orden numerico" ma:format="Dropdown" ma:internalName="Item" ma:percentage="FALSE">
      <xsd:simpleType>
        <xsd:restriction base="dms:Number">
          <xsd:maxInclusive value="10000000"/>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b811a8fe-ead4-49af-8745-cf4d8430b8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382916-b132-42c8-903b-bce70f70774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32825583-eb5d-4b06-8949-60e8676c820d}" ma:internalName="TaxCatchAll" ma:showField="CatchAllData" ma:web="97382916-b132-42c8-903b-bce70f7077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7E0B44E-5065-42A7-9F79-603FCC43EF36}">
  <ds:schemaRefs>
    <ds:schemaRef ds:uri="http://schemas.microsoft.com/office/2006/metadata/properties"/>
    <ds:schemaRef ds:uri="http://schemas.microsoft.com/office/infopath/2007/PartnerControls"/>
    <ds:schemaRef ds:uri="97382916-b132-42c8-903b-bce70f70774e"/>
    <ds:schemaRef ds:uri="0590163c-c8a8-47fa-b55c-c84300f414a2"/>
  </ds:schemaRefs>
</ds:datastoreItem>
</file>

<file path=customXml/itemProps2.xml><?xml version="1.0" encoding="utf-8"?>
<ds:datastoreItem xmlns:ds="http://schemas.openxmlformats.org/officeDocument/2006/customXml" ds:itemID="{BD03B80F-4620-485E-96A8-51ED1F78E3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90163c-c8a8-47fa-b55c-c84300f414a2"/>
    <ds:schemaRef ds:uri="97382916-b132-42c8-903b-bce70f7077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7BF8445-3C59-4606-B51A-15DFC976221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13</Pages>
  <Words>1886</Words>
  <Characters>10379</Characters>
  <Application>Microsoft Office Word</Application>
  <DocSecurity>0</DocSecurity>
  <Lines>86</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12241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 ROMERO</dc:creator>
  <cp:keywords/>
  <dc:description/>
  <cp:lastModifiedBy>Cuenta Microsoft</cp:lastModifiedBy>
  <cp:revision>192</cp:revision>
  <dcterms:created xsi:type="dcterms:W3CDTF">2022-05-14T16:54:00Z</dcterms:created>
  <dcterms:modified xsi:type="dcterms:W3CDTF">2023-11-28T21:32:00Z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0x0101006AD67A52E089B844B9BFD771AF4D775C</vt:lpwstr>
  </property>
  <property fmtid="{D5CDD505-2E9C-101B-9397-08002B2CF9AE}" pid="3" name="MediaServiceImageTags">
    <vt:lpwstr/>
  </property>
</Properties>
</file>